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6D" w:rsidRPr="00884E6D" w:rsidRDefault="00884E6D" w:rsidP="00D3596E">
      <w:pPr>
        <w:spacing w:before="120" w:after="0" w:line="276" w:lineRule="auto"/>
        <w:jc w:val="center"/>
        <w:rPr>
          <w:rFonts w:ascii="Calibri" w:hAnsi="Calibri"/>
          <w:sz w:val="20"/>
          <w:szCs w:val="20"/>
        </w:rPr>
      </w:pPr>
      <w:r w:rsidRPr="00884E6D">
        <w:rPr>
          <w:rFonts w:ascii="Calibri" w:hAnsi="Calibri"/>
          <w:sz w:val="20"/>
          <w:szCs w:val="20"/>
        </w:rPr>
        <w:tab/>
      </w:r>
      <w:r w:rsidRPr="00884E6D">
        <w:rPr>
          <w:rFonts w:ascii="Calibri" w:hAnsi="Calibri"/>
          <w:sz w:val="20"/>
          <w:szCs w:val="20"/>
        </w:rPr>
        <w:tab/>
      </w:r>
      <w:r w:rsidRPr="00884E6D">
        <w:rPr>
          <w:rFonts w:ascii="Calibri" w:hAnsi="Calibri"/>
          <w:sz w:val="20"/>
          <w:szCs w:val="20"/>
        </w:rPr>
        <w:tab/>
      </w:r>
      <w:r w:rsidRPr="00884E6D">
        <w:rPr>
          <w:rFonts w:ascii="Calibri" w:hAnsi="Calibri"/>
          <w:sz w:val="20"/>
          <w:szCs w:val="20"/>
        </w:rPr>
        <w:tab/>
      </w:r>
      <w:r w:rsidRPr="00884E6D">
        <w:rPr>
          <w:rFonts w:ascii="Calibri" w:hAnsi="Calibri"/>
          <w:sz w:val="20"/>
          <w:szCs w:val="20"/>
        </w:rPr>
        <w:tab/>
      </w:r>
      <w:r w:rsidRPr="00884E6D">
        <w:rPr>
          <w:rFonts w:ascii="Calibri" w:hAnsi="Calibri"/>
          <w:sz w:val="20"/>
          <w:szCs w:val="20"/>
        </w:rPr>
        <w:tab/>
        <w:t xml:space="preserve"> </w:t>
      </w:r>
    </w:p>
    <w:p w:rsidR="00884E6D" w:rsidRPr="00884E6D" w:rsidRDefault="00884E6D" w:rsidP="00D3596E">
      <w:pPr>
        <w:spacing w:before="120" w:after="0" w:line="276" w:lineRule="auto"/>
        <w:jc w:val="center"/>
        <w:rPr>
          <w:rFonts w:ascii="Calibri" w:hAnsi="Calibri"/>
          <w:sz w:val="20"/>
          <w:szCs w:val="20"/>
        </w:rPr>
      </w:pPr>
    </w:p>
    <w:p w:rsidR="00456AB0" w:rsidRPr="00884E6D" w:rsidRDefault="00022221" w:rsidP="00884E6D">
      <w:pPr>
        <w:spacing w:before="120" w:after="0" w:line="276" w:lineRule="auto"/>
        <w:ind w:left="7080" w:firstLine="708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Warszawa, 1.03</w:t>
      </w:r>
      <w:r w:rsidR="00884E6D" w:rsidRPr="00884E6D">
        <w:rPr>
          <w:rFonts w:ascii="Calibri" w:hAnsi="Calibri"/>
          <w:sz w:val="20"/>
          <w:szCs w:val="20"/>
        </w:rPr>
        <w:t>.2017 r.</w:t>
      </w:r>
    </w:p>
    <w:p w:rsidR="005C38BC" w:rsidRPr="00884E6D" w:rsidRDefault="005C38BC" w:rsidP="00D3596E">
      <w:pPr>
        <w:spacing w:before="120" w:after="0" w:line="276" w:lineRule="auto"/>
        <w:rPr>
          <w:rFonts w:ascii="Calibri" w:hAnsi="Calibri"/>
          <w:sz w:val="20"/>
          <w:szCs w:val="20"/>
        </w:rPr>
      </w:pPr>
    </w:p>
    <w:p w:rsidR="005C38BC" w:rsidRPr="00884E6D" w:rsidRDefault="005C38BC" w:rsidP="005C38BC">
      <w:pPr>
        <w:rPr>
          <w:rFonts w:ascii="Calibri" w:hAnsi="Calibri"/>
          <w:sz w:val="20"/>
          <w:szCs w:val="20"/>
        </w:rPr>
      </w:pPr>
    </w:p>
    <w:p w:rsidR="00884E6D" w:rsidRPr="00884E6D" w:rsidRDefault="00884E6D" w:rsidP="00884E6D">
      <w:pPr>
        <w:spacing w:line="360" w:lineRule="auto"/>
        <w:jc w:val="center"/>
        <w:rPr>
          <w:rFonts w:ascii="Calibri" w:hAnsi="Calibri"/>
          <w:b/>
          <w:sz w:val="22"/>
        </w:rPr>
      </w:pPr>
      <w:r w:rsidRPr="00884E6D">
        <w:rPr>
          <w:rFonts w:ascii="Calibri" w:hAnsi="Calibri"/>
          <w:b/>
          <w:sz w:val="22"/>
        </w:rPr>
        <w:t>OŚWIADCZENIE</w:t>
      </w:r>
    </w:p>
    <w:p w:rsidR="00884E6D" w:rsidRPr="00884E6D" w:rsidRDefault="00884E6D" w:rsidP="00884E6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45471" w:rsidRDefault="00364FAA" w:rsidP="00884E6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związku z pojawiającymi się nieprawdziwymi informacjami dotyczącymi zawarcia umowy </w:t>
      </w:r>
      <w:r w:rsidR="00B03827">
        <w:rPr>
          <w:rFonts w:ascii="Calibri" w:hAnsi="Calibri"/>
          <w:sz w:val="20"/>
          <w:szCs w:val="20"/>
        </w:rPr>
        <w:t>po</w:t>
      </w:r>
      <w:r>
        <w:rPr>
          <w:rFonts w:ascii="Calibri" w:hAnsi="Calibri"/>
          <w:sz w:val="20"/>
          <w:szCs w:val="20"/>
        </w:rPr>
        <w:t>między Totalizatorem Sportowy</w:t>
      </w:r>
      <w:r w:rsidR="00B03827">
        <w:rPr>
          <w:rFonts w:ascii="Calibri" w:hAnsi="Calibri"/>
          <w:sz w:val="20"/>
          <w:szCs w:val="20"/>
        </w:rPr>
        <w:t>m</w:t>
      </w:r>
      <w:r w:rsidR="00BA2367">
        <w:rPr>
          <w:rFonts w:ascii="Calibri" w:hAnsi="Calibri"/>
          <w:sz w:val="20"/>
          <w:szCs w:val="20"/>
        </w:rPr>
        <w:t xml:space="preserve"> Sp. z o. o.</w:t>
      </w:r>
      <w:r w:rsidR="00B03827">
        <w:rPr>
          <w:rFonts w:ascii="Calibri" w:hAnsi="Calibri"/>
          <w:sz w:val="20"/>
          <w:szCs w:val="20"/>
        </w:rPr>
        <w:t>, a firmą</w:t>
      </w:r>
      <w:r>
        <w:rPr>
          <w:rFonts w:ascii="Calibri" w:hAnsi="Calibri"/>
          <w:sz w:val="20"/>
          <w:szCs w:val="20"/>
        </w:rPr>
        <w:t xml:space="preserve"> IGT (dawniej: GTECH), Spółka</w:t>
      </w:r>
      <w:r w:rsidR="00B03827">
        <w:rPr>
          <w:rFonts w:ascii="Calibri" w:hAnsi="Calibri"/>
          <w:sz w:val="20"/>
          <w:szCs w:val="20"/>
        </w:rPr>
        <w:t xml:space="preserve"> oświadcza</w:t>
      </w:r>
      <w:r w:rsidR="0045784E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że nie zawarła kontraktu na dostawy automatów do gier</w:t>
      </w:r>
      <w:r w:rsidR="00B03827">
        <w:rPr>
          <w:rFonts w:ascii="Calibri" w:hAnsi="Calibri"/>
          <w:sz w:val="20"/>
          <w:szCs w:val="20"/>
        </w:rPr>
        <w:t xml:space="preserve"> z ww. firmą</w:t>
      </w:r>
      <w:r w:rsidR="00445471">
        <w:rPr>
          <w:rFonts w:ascii="Calibri" w:hAnsi="Calibri"/>
          <w:sz w:val="20"/>
          <w:szCs w:val="20"/>
        </w:rPr>
        <w:t>.</w:t>
      </w:r>
    </w:p>
    <w:p w:rsidR="00580483" w:rsidRDefault="00364FAA" w:rsidP="00884E6D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Totalizator Sportowy </w:t>
      </w:r>
      <w:r w:rsidR="00BA2367">
        <w:rPr>
          <w:rFonts w:ascii="Calibri" w:hAnsi="Calibri"/>
          <w:sz w:val="20"/>
          <w:szCs w:val="20"/>
        </w:rPr>
        <w:t xml:space="preserve">ponadto </w:t>
      </w:r>
      <w:r w:rsidR="0045784E">
        <w:rPr>
          <w:rFonts w:ascii="Calibri" w:hAnsi="Calibri"/>
          <w:sz w:val="20"/>
          <w:szCs w:val="20"/>
        </w:rPr>
        <w:t>informuje</w:t>
      </w:r>
      <w:r w:rsidR="00884E6D" w:rsidRPr="00884E6D">
        <w:rPr>
          <w:rFonts w:ascii="Calibri" w:hAnsi="Calibri"/>
          <w:sz w:val="20"/>
          <w:szCs w:val="20"/>
        </w:rPr>
        <w:t>, że w 2010 roku konsorcjum Data Trans Sp. z o.o. oraz GTECH Corporation wygrało przetarg na operatora gier liczbowych i systemów towarzyszących dla Totalizatora Sportowego.  Do przetargu w tym czasie  zgłosiły się jeszcze trzy inne</w:t>
      </w:r>
      <w:r w:rsidR="00810BA6">
        <w:rPr>
          <w:rFonts w:ascii="Calibri" w:hAnsi="Calibri"/>
          <w:sz w:val="20"/>
          <w:szCs w:val="20"/>
        </w:rPr>
        <w:t xml:space="preserve"> podmioty, czyli wszystkie liczące się na rynku.</w:t>
      </w:r>
      <w:r>
        <w:rPr>
          <w:rFonts w:ascii="Calibri" w:hAnsi="Calibri"/>
          <w:sz w:val="20"/>
          <w:szCs w:val="20"/>
        </w:rPr>
        <w:t xml:space="preserve"> </w:t>
      </w:r>
      <w:r w:rsidRPr="00884E6D">
        <w:rPr>
          <w:rFonts w:ascii="Calibri" w:hAnsi="Calibri"/>
          <w:b/>
          <w:sz w:val="20"/>
          <w:szCs w:val="20"/>
          <w:u w:val="single"/>
        </w:rPr>
        <w:t xml:space="preserve">Umowa </w:t>
      </w:r>
      <w:r w:rsidR="0045784E">
        <w:rPr>
          <w:rFonts w:ascii="Calibri" w:hAnsi="Calibri"/>
          <w:b/>
          <w:sz w:val="20"/>
          <w:szCs w:val="20"/>
          <w:u w:val="single"/>
        </w:rPr>
        <w:t xml:space="preserve">została zawarta na </w:t>
      </w:r>
      <w:r w:rsidR="00BA2367">
        <w:rPr>
          <w:rFonts w:ascii="Calibri" w:hAnsi="Calibri"/>
          <w:b/>
          <w:sz w:val="20"/>
          <w:szCs w:val="20"/>
          <w:u w:val="single"/>
        </w:rPr>
        <w:t xml:space="preserve">okres 7 </w:t>
      </w:r>
      <w:r w:rsidR="00B03827">
        <w:rPr>
          <w:rFonts w:ascii="Calibri" w:hAnsi="Calibri"/>
          <w:b/>
          <w:sz w:val="20"/>
          <w:szCs w:val="20"/>
          <w:u w:val="single"/>
        </w:rPr>
        <w:t xml:space="preserve">lat </w:t>
      </w:r>
      <w:r w:rsidR="00BA2367">
        <w:rPr>
          <w:rFonts w:ascii="Calibri" w:hAnsi="Calibri"/>
          <w:b/>
          <w:sz w:val="20"/>
          <w:szCs w:val="20"/>
          <w:u w:val="single"/>
        </w:rPr>
        <w:t>(</w:t>
      </w:r>
      <w:r w:rsidR="00B03827">
        <w:rPr>
          <w:rFonts w:ascii="Calibri" w:hAnsi="Calibri"/>
          <w:b/>
          <w:sz w:val="20"/>
          <w:szCs w:val="20"/>
          <w:u w:val="single"/>
        </w:rPr>
        <w:t>licząc od 2011 roku</w:t>
      </w:r>
      <w:r w:rsidR="00BA2367">
        <w:rPr>
          <w:rFonts w:ascii="Calibri" w:hAnsi="Calibri"/>
          <w:b/>
          <w:sz w:val="20"/>
          <w:szCs w:val="20"/>
          <w:u w:val="single"/>
        </w:rPr>
        <w:t xml:space="preserve">) </w:t>
      </w:r>
      <w:r w:rsidR="0045784E">
        <w:rPr>
          <w:rFonts w:ascii="Calibri" w:hAnsi="Calibri"/>
          <w:b/>
          <w:sz w:val="20"/>
          <w:szCs w:val="20"/>
          <w:u w:val="single"/>
        </w:rPr>
        <w:t xml:space="preserve">      </w:t>
      </w:r>
      <w:r w:rsidR="00BA2367">
        <w:rPr>
          <w:rFonts w:ascii="Calibri" w:hAnsi="Calibri"/>
          <w:b/>
          <w:sz w:val="20"/>
          <w:szCs w:val="20"/>
          <w:u w:val="single"/>
        </w:rPr>
        <w:t>i</w:t>
      </w:r>
      <w:r w:rsidR="00B03827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884E6D">
        <w:rPr>
          <w:rFonts w:ascii="Calibri" w:hAnsi="Calibri"/>
          <w:b/>
          <w:sz w:val="20"/>
          <w:szCs w:val="20"/>
          <w:u w:val="single"/>
        </w:rPr>
        <w:t>w żaden sposób nie obliguje Spółki do zakupu automatów od ww. podmiotów</w:t>
      </w:r>
      <w:r w:rsidR="00B03827">
        <w:rPr>
          <w:rFonts w:ascii="Calibri" w:hAnsi="Calibri"/>
          <w:b/>
          <w:sz w:val="20"/>
          <w:szCs w:val="20"/>
          <w:u w:val="single"/>
        </w:rPr>
        <w:t xml:space="preserve">. </w:t>
      </w:r>
    </w:p>
    <w:p w:rsidR="00884E6D" w:rsidRDefault="00884E6D" w:rsidP="00884E6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84E6D">
        <w:rPr>
          <w:rFonts w:ascii="Calibri" w:hAnsi="Calibri"/>
          <w:sz w:val="20"/>
          <w:szCs w:val="20"/>
        </w:rPr>
        <w:t>Od samego początku Spółka działała w tej sprawie transparentnie. Wyniki przetargu zostały przeanalizowane przez ówczesny Zarząd Totalizatora Sportowego, który po uzyskaniu opinii Rady Nadzorczej i podjęciu decyzji mocą uchwały przekazał dokumenty Ministrowi Skarbu Państwa, który zaak</w:t>
      </w:r>
      <w:r w:rsidR="00E40C7E">
        <w:rPr>
          <w:rFonts w:ascii="Calibri" w:hAnsi="Calibri"/>
          <w:sz w:val="20"/>
          <w:szCs w:val="20"/>
        </w:rPr>
        <w:t>ceptował decyzję Zarządu Spółki Totalizatora Sportowego.</w:t>
      </w:r>
      <w:r w:rsidR="00B03827">
        <w:rPr>
          <w:rFonts w:ascii="Calibri" w:hAnsi="Calibri"/>
          <w:sz w:val="20"/>
          <w:szCs w:val="20"/>
        </w:rPr>
        <w:t xml:space="preserve"> </w:t>
      </w:r>
      <w:r w:rsidRPr="00884E6D">
        <w:rPr>
          <w:rFonts w:ascii="Calibri" w:hAnsi="Calibri"/>
          <w:sz w:val="20"/>
          <w:szCs w:val="20"/>
        </w:rPr>
        <w:t xml:space="preserve">Umowa została uroczyście podpisana na specjalnie zwołanej konferencji w obecności dziennikarzy w hotelu Bristol 12 lipca 2010 roku. </w:t>
      </w:r>
    </w:p>
    <w:p w:rsidR="00810BA6" w:rsidRDefault="00884E6D" w:rsidP="00884E6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84E6D">
        <w:rPr>
          <w:rFonts w:ascii="Calibri" w:hAnsi="Calibri"/>
          <w:sz w:val="20"/>
          <w:szCs w:val="20"/>
        </w:rPr>
        <w:t>Podkreślamy także, że Totalizator Sportowy jest spółką ze 100% udziałem Skarbu Państwa</w:t>
      </w:r>
      <w:r w:rsidR="00BA2367">
        <w:rPr>
          <w:rFonts w:ascii="Calibri" w:hAnsi="Calibri"/>
          <w:sz w:val="20"/>
          <w:szCs w:val="20"/>
        </w:rPr>
        <w:t>.</w:t>
      </w:r>
      <w:r w:rsidRPr="00884E6D">
        <w:rPr>
          <w:rFonts w:ascii="Calibri" w:hAnsi="Calibri"/>
          <w:sz w:val="20"/>
          <w:szCs w:val="20"/>
        </w:rPr>
        <w:t xml:space="preserve"> </w:t>
      </w:r>
      <w:r w:rsidR="00E40C7E">
        <w:rPr>
          <w:rFonts w:ascii="Calibri" w:hAnsi="Calibri"/>
          <w:sz w:val="20"/>
          <w:szCs w:val="20"/>
        </w:rPr>
        <w:t>Jednocześnie informujemy, że jeżeli Spółka będzie</w:t>
      </w:r>
      <w:r w:rsidR="00BA2367">
        <w:rPr>
          <w:rFonts w:ascii="Calibri" w:hAnsi="Calibri"/>
          <w:sz w:val="20"/>
          <w:szCs w:val="20"/>
        </w:rPr>
        <w:t xml:space="preserve"> wykonywała monopol Skarbu Państwa w zakresie automatów</w:t>
      </w:r>
      <w:r w:rsidR="00E40C7E">
        <w:rPr>
          <w:rFonts w:ascii="Calibri" w:hAnsi="Calibri"/>
          <w:sz w:val="20"/>
          <w:szCs w:val="20"/>
        </w:rPr>
        <w:t>, to w oparciu o przemysł krajowy we współpracy</w:t>
      </w:r>
      <w:r w:rsidR="00396EC3">
        <w:rPr>
          <w:rFonts w:ascii="Calibri" w:hAnsi="Calibri"/>
          <w:sz w:val="20"/>
          <w:szCs w:val="20"/>
        </w:rPr>
        <w:t xml:space="preserve">            </w:t>
      </w:r>
      <w:r w:rsidR="00E40C7E">
        <w:rPr>
          <w:rFonts w:ascii="Calibri" w:hAnsi="Calibri"/>
          <w:sz w:val="20"/>
          <w:szCs w:val="20"/>
        </w:rPr>
        <w:t xml:space="preserve"> z Polską Grupą Zbrojeniową oraz Polską Wytwórnią Papierów Wartościowych.</w:t>
      </w:r>
      <w:r w:rsidR="00BA2367">
        <w:rPr>
          <w:rFonts w:ascii="Calibri" w:hAnsi="Calibri"/>
          <w:sz w:val="20"/>
          <w:szCs w:val="20"/>
        </w:rPr>
        <w:t xml:space="preserve"> Informacje o ewentualnych kon</w:t>
      </w:r>
      <w:r w:rsidR="00CA6D13">
        <w:rPr>
          <w:rFonts w:ascii="Calibri" w:hAnsi="Calibri"/>
          <w:sz w:val="20"/>
          <w:szCs w:val="20"/>
        </w:rPr>
        <w:t>traktach w tym zakresie zostaną</w:t>
      </w:r>
      <w:r w:rsidR="00BA2367">
        <w:rPr>
          <w:rFonts w:ascii="Calibri" w:hAnsi="Calibri"/>
          <w:sz w:val="20"/>
          <w:szCs w:val="20"/>
        </w:rPr>
        <w:t xml:space="preserve"> </w:t>
      </w:r>
      <w:r w:rsidR="00CA6D13">
        <w:rPr>
          <w:rFonts w:ascii="Calibri" w:hAnsi="Calibri"/>
          <w:sz w:val="20"/>
          <w:szCs w:val="20"/>
        </w:rPr>
        <w:t>przekazane</w:t>
      </w:r>
      <w:r w:rsidR="00BA2367">
        <w:rPr>
          <w:rFonts w:ascii="Calibri" w:hAnsi="Calibri"/>
          <w:sz w:val="20"/>
          <w:szCs w:val="20"/>
        </w:rPr>
        <w:t xml:space="preserve"> do publicznej wiadomości po uzyskaniu stosownej zgody właściciela.</w:t>
      </w:r>
    </w:p>
    <w:p w:rsidR="001155A0" w:rsidRDefault="00BA2367" w:rsidP="00884E6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Wskazujemy również, że p</w:t>
      </w:r>
      <w:r w:rsidR="001155A0">
        <w:rPr>
          <w:rFonts w:ascii="Calibri" w:hAnsi="Calibri"/>
          <w:sz w:val="20"/>
          <w:szCs w:val="20"/>
        </w:rPr>
        <w:t>rzeprowadzone</w:t>
      </w:r>
      <w:r w:rsidR="00EA38A2">
        <w:rPr>
          <w:rFonts w:ascii="Calibri" w:hAnsi="Calibri"/>
          <w:sz w:val="20"/>
          <w:szCs w:val="20"/>
        </w:rPr>
        <w:t xml:space="preserve"> przez Spółkę analizy</w:t>
      </w:r>
      <w:r w:rsidR="001155A0">
        <w:rPr>
          <w:rFonts w:ascii="Calibri" w:hAnsi="Calibri"/>
          <w:sz w:val="20"/>
          <w:szCs w:val="20"/>
        </w:rPr>
        <w:t xml:space="preserve"> wykazały, że realizacja tej części monopolu przez </w:t>
      </w:r>
      <w:r w:rsidR="00EA38A2">
        <w:rPr>
          <w:rFonts w:ascii="Calibri" w:hAnsi="Calibri"/>
          <w:sz w:val="20"/>
          <w:szCs w:val="20"/>
        </w:rPr>
        <w:t>Totalizator Sportowy</w:t>
      </w:r>
      <w:r w:rsidR="001155A0">
        <w:rPr>
          <w:rFonts w:ascii="Calibri" w:hAnsi="Calibri"/>
          <w:sz w:val="20"/>
          <w:szCs w:val="20"/>
        </w:rPr>
        <w:t xml:space="preserve"> wpłynie bardzo korzystnie na budżet Państwa, jak również na wyniki finansowe</w:t>
      </w:r>
      <w:r w:rsidR="00EA758C">
        <w:rPr>
          <w:rFonts w:ascii="Calibri" w:hAnsi="Calibri"/>
          <w:sz w:val="20"/>
          <w:szCs w:val="20"/>
        </w:rPr>
        <w:t xml:space="preserve"> samej</w:t>
      </w:r>
      <w:r w:rsidR="001155A0">
        <w:rPr>
          <w:rFonts w:ascii="Calibri" w:hAnsi="Calibri"/>
          <w:sz w:val="20"/>
          <w:szCs w:val="20"/>
        </w:rPr>
        <w:t xml:space="preserve"> </w:t>
      </w:r>
      <w:r w:rsidR="00EA38A2">
        <w:rPr>
          <w:rFonts w:ascii="Calibri" w:hAnsi="Calibri"/>
          <w:sz w:val="20"/>
          <w:szCs w:val="20"/>
        </w:rPr>
        <w:t>firmy.</w:t>
      </w:r>
    </w:p>
    <w:p w:rsidR="00884E6D" w:rsidRDefault="00884E6D" w:rsidP="00884E6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84E6D">
        <w:rPr>
          <w:rFonts w:ascii="Calibri" w:hAnsi="Calibri"/>
          <w:sz w:val="20"/>
          <w:szCs w:val="20"/>
        </w:rPr>
        <w:t>Pragniemy także zauważyć, że Totalizator Sportowy jest spółką zaufania publicznego, która dzięki dopłatom i podatkowi od gier tylko w 2015 roku wsparła polski sektor publiczny, w tym sport i kulturę, kwotą około 1,8 mld zł</w:t>
      </w:r>
      <w:r>
        <w:rPr>
          <w:rFonts w:ascii="Calibri" w:hAnsi="Calibri"/>
          <w:sz w:val="20"/>
          <w:szCs w:val="20"/>
        </w:rPr>
        <w:t>. Zaufanie klientów do spółki i </w:t>
      </w:r>
      <w:r w:rsidRPr="00884E6D">
        <w:rPr>
          <w:rFonts w:ascii="Calibri" w:hAnsi="Calibri"/>
          <w:sz w:val="20"/>
          <w:szCs w:val="20"/>
        </w:rPr>
        <w:t>naszych marek wprost przekłada się na wpływy z dopłat i podatków do budżetu Państwa. Dlatego też poda</w:t>
      </w:r>
      <w:r w:rsidR="00BA2367">
        <w:rPr>
          <w:rFonts w:ascii="Calibri" w:hAnsi="Calibri"/>
          <w:sz w:val="20"/>
          <w:szCs w:val="20"/>
        </w:rPr>
        <w:t>wa</w:t>
      </w:r>
      <w:r w:rsidRPr="00884E6D">
        <w:rPr>
          <w:rFonts w:ascii="Calibri" w:hAnsi="Calibri"/>
          <w:sz w:val="20"/>
          <w:szCs w:val="20"/>
        </w:rPr>
        <w:t xml:space="preserve">nie do publicznej wiadomości nieprawdziwych informacji może narażać na szwank reputację naszej spółki, a tym samym może zagrozić realizacji misji Totalizatora Sportowego, jaką jest wspieranie sektora publicznego, polskiego sportu i kultury. </w:t>
      </w:r>
    </w:p>
    <w:sectPr w:rsidR="00884E6D" w:rsidSect="0075667F">
      <w:headerReference w:type="default" r:id="rId10"/>
      <w:headerReference w:type="first" r:id="rId11"/>
      <w:footerReference w:type="first" r:id="rId12"/>
      <w:pgSz w:w="11906" w:h="16838"/>
      <w:pgMar w:top="568" w:right="720" w:bottom="567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D2" w:rsidRDefault="000A70D2" w:rsidP="000234E9">
      <w:pPr>
        <w:spacing w:after="0" w:line="240" w:lineRule="auto"/>
      </w:pPr>
      <w:r>
        <w:separator/>
      </w:r>
    </w:p>
  </w:endnote>
  <w:endnote w:type="continuationSeparator" w:id="0">
    <w:p w:rsidR="000A70D2" w:rsidRDefault="000A70D2" w:rsidP="0002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xPro-Regular">
    <w:altName w:val="Arial"/>
    <w:panose1 w:val="00000000000000000000"/>
    <w:charset w:val="00"/>
    <w:family w:val="modern"/>
    <w:notTrueType/>
    <w:pitch w:val="variable"/>
    <w:sig w:usb0="00000001" w:usb1="400024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7F" w:rsidRDefault="005C38BC" w:rsidP="0075667F">
    <w:pPr>
      <w:pStyle w:val="Bezodstpw"/>
      <w:jc w:val="center"/>
      <w:rPr>
        <w:rFonts w:ascii="DaxPro-Regular" w:hAnsi="DaxPro-Regular"/>
        <w:color w:val="00338D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3343275" cy="542925"/>
          <wp:effectExtent l="0" t="0" r="9525" b="9525"/>
          <wp:docPr id="1" name="Obraz 1" descr="C:\Users\ossowski.p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sowski.p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67F" w:rsidRDefault="0075667F" w:rsidP="0075667F">
    <w:pPr>
      <w:pStyle w:val="Bezodstpw"/>
      <w:jc w:val="center"/>
      <w:rPr>
        <w:rFonts w:ascii="DaxPro-Regular" w:hAnsi="DaxPro-Regular"/>
        <w:color w:val="00338D"/>
        <w:sz w:val="16"/>
        <w:szCs w:val="16"/>
      </w:rPr>
    </w:pPr>
  </w:p>
  <w:p w:rsidR="0075667F" w:rsidRPr="00456AB0" w:rsidRDefault="0075667F" w:rsidP="0075667F">
    <w:pPr>
      <w:pStyle w:val="Bezodstpw"/>
      <w:jc w:val="center"/>
      <w:rPr>
        <w:rFonts w:ascii="DaxPro-Regular" w:hAnsi="DaxPro-Regular"/>
        <w:color w:val="00338D"/>
        <w:sz w:val="16"/>
        <w:szCs w:val="16"/>
      </w:rPr>
    </w:pPr>
    <w:r w:rsidRPr="00456AB0">
      <w:rPr>
        <w:rFonts w:ascii="DaxPro-Regular" w:hAnsi="DaxPro-Regular"/>
        <w:color w:val="00338D"/>
        <w:sz w:val="16"/>
        <w:szCs w:val="16"/>
      </w:rPr>
      <w:t>TOTALIZATOR SPORTOWY Sp. z o.o.</w:t>
    </w:r>
  </w:p>
  <w:p w:rsidR="0075667F" w:rsidRPr="00456AB0" w:rsidRDefault="0075667F" w:rsidP="0075667F">
    <w:pPr>
      <w:pStyle w:val="Bezodstpw"/>
      <w:jc w:val="center"/>
      <w:rPr>
        <w:rFonts w:ascii="DaxPro-Regular" w:hAnsi="DaxPro-Regular"/>
        <w:color w:val="00338D"/>
        <w:sz w:val="16"/>
        <w:szCs w:val="16"/>
      </w:rPr>
    </w:pPr>
    <w:r w:rsidRPr="00456AB0">
      <w:rPr>
        <w:rFonts w:ascii="DaxPro-Regular" w:hAnsi="DaxPro-Regular"/>
        <w:color w:val="00338D"/>
        <w:sz w:val="16"/>
        <w:szCs w:val="16"/>
      </w:rPr>
      <w:t>03-728 Warszawa, ul. Targowa 25, Tel. +48 22 518 22 00; +48 22 518 23 20; Faks +48 22 818 51 83</w:t>
    </w:r>
  </w:p>
  <w:p w:rsidR="0075667F" w:rsidRPr="00456AB0" w:rsidRDefault="0075667F" w:rsidP="0075667F">
    <w:pPr>
      <w:pStyle w:val="Bezodstpw"/>
      <w:jc w:val="center"/>
      <w:rPr>
        <w:rFonts w:ascii="DaxPro-Regular" w:hAnsi="DaxPro-Regular"/>
        <w:color w:val="00338D"/>
        <w:sz w:val="16"/>
        <w:szCs w:val="16"/>
      </w:rPr>
    </w:pPr>
    <w:r w:rsidRPr="00456AB0">
      <w:rPr>
        <w:rFonts w:ascii="DaxPro-Regular" w:hAnsi="DaxPro-Regular"/>
        <w:color w:val="00338D"/>
        <w:sz w:val="16"/>
        <w:szCs w:val="16"/>
      </w:rPr>
      <w:t>NIP: 525-00-10-982; KRS: 0000007411; Sąd Rejonowy dla m. st. Warszawy XIII Wydział Gospodarczy; Kapitał zakładowy Spółki 115.000.000 zł</w:t>
    </w:r>
  </w:p>
  <w:p w:rsidR="0075667F" w:rsidRDefault="0075667F" w:rsidP="0075667F">
    <w:pPr>
      <w:pStyle w:val="Bezodstpw"/>
      <w:jc w:val="center"/>
      <w:rPr>
        <w:rFonts w:ascii="DaxPro-Regular" w:hAnsi="DaxPro-Regular"/>
        <w:color w:val="00338D"/>
        <w:sz w:val="16"/>
        <w:szCs w:val="16"/>
      </w:rPr>
    </w:pPr>
    <w:r w:rsidRPr="00456AB0">
      <w:rPr>
        <w:rFonts w:ascii="DaxPro-Regular" w:hAnsi="DaxPro-Regular"/>
        <w:color w:val="00338D"/>
        <w:sz w:val="16"/>
        <w:szCs w:val="16"/>
      </w:rPr>
      <w:t>Bank PKO BP S.A. Warszawa 48 1020 1042 0000 8902 0014 8270, e-mail: centrala@totalizator.pl; www.totalizator.pl;</w:t>
    </w:r>
    <w:r w:rsidRPr="006B7429">
      <w:rPr>
        <w:rFonts w:ascii="DaxPro-Regular" w:hAnsi="DaxPro-Regular"/>
        <w:color w:val="00338D"/>
        <w:sz w:val="16"/>
        <w:szCs w:val="16"/>
      </w:rPr>
      <w:t xml:space="preserve"> www.lotto.pl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D2" w:rsidRDefault="000A70D2" w:rsidP="000234E9">
      <w:pPr>
        <w:spacing w:after="0" w:line="240" w:lineRule="auto"/>
      </w:pPr>
      <w:r>
        <w:separator/>
      </w:r>
    </w:p>
  </w:footnote>
  <w:footnote w:type="continuationSeparator" w:id="0">
    <w:p w:rsidR="000A70D2" w:rsidRDefault="000A70D2" w:rsidP="0002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E9" w:rsidRDefault="000234E9" w:rsidP="000234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995300" wp14:editId="15995301">
          <wp:extent cx="1002489" cy="576000"/>
          <wp:effectExtent l="0" t="0" r="7620" b="0"/>
          <wp:docPr id="3" name="Obraz 3" descr="C:\Users\a.biniak.LA5\AppData\Local\Microsoft\Windows\INetCache\Content.Word\TS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.biniak.LA5\AppData\Local\Microsoft\Windows\INetCache\Content.Word\TS_zna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" b="37181"/>
                  <a:stretch/>
                </pic:blipFill>
                <pic:spPr bwMode="auto">
                  <a:xfrm>
                    <a:off x="0" y="0"/>
                    <a:ext cx="1008058" cy="57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7F" w:rsidRDefault="00756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995302" wp14:editId="15995303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1016635" cy="922020"/>
          <wp:effectExtent l="0" t="0" r="0" b="0"/>
          <wp:wrapNone/>
          <wp:docPr id="7" name="Obraz 7" descr="C:\Users\a.biniak.LA5\AppData\Local\Microsoft\Windows\INetCache\Content.Word\TS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.biniak.LA5\AppData\Local\Microsoft\Windows\INetCache\Content.Word\TS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667F" w:rsidRDefault="0075667F">
    <w:pPr>
      <w:pStyle w:val="Nagwek"/>
    </w:pPr>
  </w:p>
  <w:p w:rsidR="0075667F" w:rsidRDefault="0075667F">
    <w:pPr>
      <w:pStyle w:val="Nagwek"/>
    </w:pPr>
  </w:p>
  <w:p w:rsidR="0075667F" w:rsidRDefault="0075667F">
    <w:pPr>
      <w:pStyle w:val="Nagwek"/>
    </w:pPr>
  </w:p>
  <w:p w:rsidR="0075667F" w:rsidRDefault="0075667F">
    <w:pPr>
      <w:pStyle w:val="Nagwek"/>
    </w:pPr>
  </w:p>
  <w:p w:rsidR="0075667F" w:rsidRDefault="0075667F">
    <w:pPr>
      <w:pStyle w:val="Nagwek"/>
    </w:pPr>
  </w:p>
  <w:p w:rsidR="0075667F" w:rsidRDefault="007566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C"/>
    <w:rsid w:val="00022221"/>
    <w:rsid w:val="000234E9"/>
    <w:rsid w:val="00083FA0"/>
    <w:rsid w:val="000A70D2"/>
    <w:rsid w:val="00111BB8"/>
    <w:rsid w:val="001155A0"/>
    <w:rsid w:val="00237380"/>
    <w:rsid w:val="002629BB"/>
    <w:rsid w:val="00276671"/>
    <w:rsid w:val="002D28A3"/>
    <w:rsid w:val="00364FAA"/>
    <w:rsid w:val="00396EC3"/>
    <w:rsid w:val="003E517E"/>
    <w:rsid w:val="004444F3"/>
    <w:rsid w:val="00445471"/>
    <w:rsid w:val="00456AB0"/>
    <w:rsid w:val="0045784E"/>
    <w:rsid w:val="00580483"/>
    <w:rsid w:val="005C38BC"/>
    <w:rsid w:val="00621774"/>
    <w:rsid w:val="00693113"/>
    <w:rsid w:val="006B7429"/>
    <w:rsid w:val="0075667F"/>
    <w:rsid w:val="00810BA6"/>
    <w:rsid w:val="0086286B"/>
    <w:rsid w:val="00884E6D"/>
    <w:rsid w:val="008C1E74"/>
    <w:rsid w:val="00B03827"/>
    <w:rsid w:val="00B219BD"/>
    <w:rsid w:val="00BA2367"/>
    <w:rsid w:val="00CA6D13"/>
    <w:rsid w:val="00CD7918"/>
    <w:rsid w:val="00CF1F7C"/>
    <w:rsid w:val="00D3596E"/>
    <w:rsid w:val="00DB19C7"/>
    <w:rsid w:val="00E40148"/>
    <w:rsid w:val="00E40C7E"/>
    <w:rsid w:val="00EA38A2"/>
    <w:rsid w:val="00EA758C"/>
    <w:rsid w:val="00F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F9520-41EC-4FF3-85E0-6CB0FDE2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F7C"/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8D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338D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62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8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2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8CB7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862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CB7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8628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8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58CB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AB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F1F7C"/>
    <w:rPr>
      <w:rFonts w:asciiTheme="majorHAnsi" w:eastAsiaTheme="majorEastAsia" w:hAnsiTheme="majorHAnsi" w:cstheme="majorBidi"/>
      <w:b/>
      <w:color w:val="00338D"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456A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2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286B"/>
    <w:rPr>
      <w:rFonts w:asciiTheme="majorHAnsi" w:eastAsiaTheme="majorEastAsia" w:hAnsiTheme="majorHAnsi" w:cstheme="majorBidi"/>
      <w:color w:val="00338D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6286B"/>
    <w:rPr>
      <w:rFonts w:asciiTheme="majorHAnsi" w:eastAsiaTheme="majorEastAsia" w:hAnsiTheme="majorHAnsi" w:cstheme="majorBidi"/>
      <w:color w:val="00338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286B"/>
    <w:rPr>
      <w:rFonts w:asciiTheme="majorHAnsi" w:eastAsiaTheme="majorEastAsia" w:hAnsiTheme="majorHAnsi" w:cstheme="majorBidi"/>
      <w:i/>
      <w:iCs/>
      <w:color w:val="858CB7"/>
    </w:rPr>
  </w:style>
  <w:style w:type="character" w:customStyle="1" w:styleId="Nagwek5Znak">
    <w:name w:val="Nagłówek 5 Znak"/>
    <w:basedOn w:val="Domylnaczcionkaakapitu"/>
    <w:link w:val="Nagwek5"/>
    <w:uiPriority w:val="9"/>
    <w:rsid w:val="0086286B"/>
    <w:rPr>
      <w:rFonts w:asciiTheme="majorHAnsi" w:eastAsiaTheme="majorEastAsia" w:hAnsiTheme="majorHAnsi" w:cstheme="majorBidi"/>
      <w:color w:val="858CB7"/>
    </w:rPr>
  </w:style>
  <w:style w:type="character" w:customStyle="1" w:styleId="Nagwek6Znak">
    <w:name w:val="Nagłówek 6 Znak"/>
    <w:basedOn w:val="Domylnaczcionkaakapitu"/>
    <w:link w:val="Nagwek6"/>
    <w:uiPriority w:val="9"/>
    <w:rsid w:val="008628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286B"/>
    <w:rPr>
      <w:rFonts w:asciiTheme="majorHAnsi" w:eastAsiaTheme="majorEastAsia" w:hAnsiTheme="majorHAnsi" w:cstheme="majorBidi"/>
      <w:i/>
      <w:iCs/>
      <w:color w:val="858CB7"/>
    </w:rPr>
  </w:style>
  <w:style w:type="paragraph" w:styleId="Tytu">
    <w:name w:val="Title"/>
    <w:basedOn w:val="Normalny"/>
    <w:next w:val="Normalny"/>
    <w:link w:val="TytuZnak"/>
    <w:uiPriority w:val="10"/>
    <w:qFormat/>
    <w:rsid w:val="002766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6671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Wyrnienieintensywne">
    <w:name w:val="Intense Emphasis"/>
    <w:basedOn w:val="Domylnaczcionkaakapitu"/>
    <w:uiPriority w:val="21"/>
    <w:qFormat/>
    <w:rsid w:val="0086286B"/>
    <w:rPr>
      <w:i/>
      <w:iCs/>
      <w:color w:val="858CB7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34E9"/>
    <w:pPr>
      <w:pBdr>
        <w:top w:val="single" w:sz="4" w:space="10" w:color="00338D"/>
        <w:bottom w:val="single" w:sz="4" w:space="10" w:color="00338D"/>
      </w:pBdr>
      <w:spacing w:before="360" w:after="360"/>
      <w:ind w:left="864" w:right="864"/>
      <w:jc w:val="center"/>
    </w:pPr>
    <w:rPr>
      <w:i/>
      <w:iCs/>
      <w:color w:val="858CB7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34E9"/>
    <w:rPr>
      <w:i/>
      <w:iCs/>
      <w:color w:val="858CB7"/>
    </w:rPr>
  </w:style>
  <w:style w:type="character" w:styleId="Odwoanieintensywne">
    <w:name w:val="Intense Reference"/>
    <w:basedOn w:val="Domylnaczcionkaakapitu"/>
    <w:uiPriority w:val="32"/>
    <w:qFormat/>
    <w:rsid w:val="0086286B"/>
    <w:rPr>
      <w:b/>
      <w:bCs/>
      <w:smallCaps/>
      <w:color w:val="00338D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2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4E9"/>
  </w:style>
  <w:style w:type="paragraph" w:styleId="Stopka">
    <w:name w:val="footer"/>
    <w:basedOn w:val="Normalny"/>
    <w:link w:val="StopkaZnak"/>
    <w:uiPriority w:val="99"/>
    <w:unhideWhenUsed/>
    <w:rsid w:val="0002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4E9"/>
  </w:style>
  <w:style w:type="character" w:customStyle="1" w:styleId="apple-converted-space">
    <w:name w:val="apple-converted-space"/>
    <w:basedOn w:val="Domylnaczcionkaakapitu"/>
    <w:uiPriority w:val="99"/>
    <w:rsid w:val="000234E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338D"/>
      </a:dk2>
      <a:lt2>
        <a:srgbClr val="C2C5DB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CD6820A0F12846A5FB26E0069E2E18" ma:contentTypeVersion="0" ma:contentTypeDescription="Utwórz nowy dokument." ma:contentTypeScope="" ma:versionID="b39e4f2c2fda61cf4f599d82e605421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1F6B-BBB5-4A36-8E63-56A1DF55F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78B3FC-F62E-4953-B6E5-DD07FDBF037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952C5B-B38A-4048-86FF-6946D097AD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DD3B2-EBF3-4948-BD22-C0267273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Ossowski Piotr</dc:creator>
  <cp:keywords>Informacja prasowa;Totalizator Sportowy</cp:keywords>
  <dc:description/>
  <cp:lastModifiedBy>Bella Aida</cp:lastModifiedBy>
  <cp:revision>2</cp:revision>
  <cp:lastPrinted>2017-03-01T15:50:00Z</cp:lastPrinted>
  <dcterms:created xsi:type="dcterms:W3CDTF">2017-03-01T15:58:00Z</dcterms:created>
  <dcterms:modified xsi:type="dcterms:W3CDTF">2017-03-01T15:58:00Z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0x0101009ECD6820A0F12846A5FB26E0069E2E18</vt:lpwstr>
  </property>
</Properties>
</file>