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66" w:rsidRPr="00765CB9" w:rsidRDefault="00A56666" w:rsidP="00A56666">
      <w:pPr>
        <w:pStyle w:val="Nagwek2"/>
        <w:tabs>
          <w:tab w:val="left" w:pos="6362"/>
          <w:tab w:val="right" w:pos="9072"/>
        </w:tabs>
        <w:rPr>
          <w:rFonts w:ascii="Calibri" w:hAnsi="Calibri"/>
          <w:b w:val="0"/>
          <w:i/>
          <w:color w:val="auto"/>
          <w:sz w:val="18"/>
          <w:szCs w:val="18"/>
        </w:rPr>
      </w:pPr>
      <w:bookmarkStart w:id="0" w:name="_GoBack"/>
      <w:bookmarkEnd w:id="0"/>
      <w:r>
        <w:rPr>
          <w:rFonts w:ascii="Calibri" w:hAnsi="Calibri"/>
          <w:b w:val="0"/>
          <w:i/>
          <w:color w:val="auto"/>
          <w:sz w:val="18"/>
          <w:szCs w:val="18"/>
        </w:rPr>
        <w:tab/>
      </w:r>
      <w:r>
        <w:rPr>
          <w:rFonts w:ascii="Calibri" w:hAnsi="Calibri"/>
          <w:b w:val="0"/>
          <w:i/>
          <w:color w:val="auto"/>
          <w:sz w:val="18"/>
          <w:szCs w:val="18"/>
        </w:rPr>
        <w:tab/>
        <w:t xml:space="preserve">Warszawa, </w:t>
      </w:r>
      <w:r>
        <w:rPr>
          <w:rFonts w:ascii="Calibri" w:hAnsi="Calibri"/>
          <w:b w:val="0"/>
          <w:i/>
          <w:color w:val="auto"/>
          <w:sz w:val="18"/>
          <w:szCs w:val="18"/>
          <w:lang w:val="pl-PL"/>
        </w:rPr>
        <w:t>25</w:t>
      </w:r>
      <w:r w:rsidRPr="00765CB9">
        <w:rPr>
          <w:rFonts w:ascii="Calibri" w:hAnsi="Calibri"/>
          <w:b w:val="0"/>
          <w:i/>
          <w:color w:val="auto"/>
          <w:sz w:val="18"/>
          <w:szCs w:val="18"/>
        </w:rPr>
        <w:t xml:space="preserve"> </w:t>
      </w:r>
      <w:r>
        <w:rPr>
          <w:rFonts w:ascii="Calibri" w:hAnsi="Calibri"/>
          <w:b w:val="0"/>
          <w:i/>
          <w:color w:val="auto"/>
          <w:sz w:val="18"/>
          <w:szCs w:val="18"/>
        </w:rPr>
        <w:t>lutego 2016</w:t>
      </w:r>
      <w:r w:rsidRPr="00765CB9">
        <w:rPr>
          <w:rFonts w:ascii="Calibri" w:hAnsi="Calibri"/>
          <w:b w:val="0"/>
          <w:i/>
          <w:color w:val="auto"/>
          <w:sz w:val="18"/>
          <w:szCs w:val="18"/>
        </w:rPr>
        <w:t xml:space="preserve"> r.</w:t>
      </w:r>
    </w:p>
    <w:p w:rsidR="000B4A66" w:rsidRDefault="000B4A66" w:rsidP="00A56666">
      <w:pPr>
        <w:pStyle w:val="Nagwek2"/>
        <w:jc w:val="both"/>
        <w:rPr>
          <w:rFonts w:ascii="Calibri" w:hAnsi="Calibri"/>
          <w:color w:val="auto"/>
          <w:sz w:val="22"/>
          <w:szCs w:val="22"/>
          <w:lang w:val="pl-PL"/>
        </w:rPr>
      </w:pPr>
      <w:r>
        <w:rPr>
          <w:rFonts w:ascii="Calibri" w:hAnsi="Calibri"/>
          <w:color w:val="auto"/>
          <w:sz w:val="22"/>
          <w:szCs w:val="22"/>
          <w:lang w:val="pl-PL"/>
        </w:rPr>
        <w:t>BIK progno</w:t>
      </w:r>
      <w:r w:rsidR="002E46C5">
        <w:rPr>
          <w:rFonts w:ascii="Calibri" w:hAnsi="Calibri"/>
          <w:color w:val="auto"/>
          <w:sz w:val="22"/>
          <w:szCs w:val="22"/>
          <w:lang w:val="pl-PL"/>
        </w:rPr>
        <w:t>zuje</w:t>
      </w:r>
      <w:r w:rsidR="00F1760C">
        <w:rPr>
          <w:rFonts w:ascii="Calibri" w:hAnsi="Calibri"/>
          <w:color w:val="auto"/>
          <w:sz w:val="22"/>
          <w:szCs w:val="22"/>
          <w:lang w:val="pl-PL"/>
        </w:rPr>
        <w:t xml:space="preserve"> rok kredytowy 2016</w:t>
      </w:r>
      <w:r w:rsidR="002E46C5">
        <w:rPr>
          <w:rFonts w:ascii="Calibri" w:hAnsi="Calibri"/>
          <w:color w:val="auto"/>
          <w:sz w:val="22"/>
          <w:szCs w:val="22"/>
          <w:lang w:val="pl-PL"/>
        </w:rPr>
        <w:t xml:space="preserve">: stabilizacja </w:t>
      </w:r>
      <w:r w:rsidR="004E0E0B">
        <w:rPr>
          <w:rFonts w:ascii="Calibri" w:hAnsi="Calibri"/>
          <w:color w:val="auto"/>
          <w:sz w:val="22"/>
          <w:szCs w:val="22"/>
          <w:lang w:val="pl-PL"/>
        </w:rPr>
        <w:t xml:space="preserve">wartości udzielanych kredytów konsumpcyjnych oraz </w:t>
      </w:r>
      <w:r w:rsidR="002E46C5">
        <w:rPr>
          <w:rFonts w:ascii="Calibri" w:hAnsi="Calibri"/>
          <w:color w:val="auto"/>
          <w:sz w:val="22"/>
          <w:szCs w:val="22"/>
          <w:lang w:val="pl-PL"/>
        </w:rPr>
        <w:t>umiarkowan</w:t>
      </w:r>
      <w:r>
        <w:rPr>
          <w:rFonts w:ascii="Calibri" w:hAnsi="Calibri"/>
          <w:color w:val="auto"/>
          <w:sz w:val="22"/>
          <w:szCs w:val="22"/>
          <w:lang w:val="pl-PL"/>
        </w:rPr>
        <w:t>e</w:t>
      </w:r>
      <w:r w:rsidR="002E46C5">
        <w:rPr>
          <w:rFonts w:ascii="Calibri" w:hAnsi="Calibri"/>
          <w:color w:val="auto"/>
          <w:sz w:val="22"/>
          <w:szCs w:val="22"/>
          <w:lang w:val="pl-PL"/>
        </w:rPr>
        <w:t xml:space="preserve"> wzrosty</w:t>
      </w:r>
      <w:r>
        <w:rPr>
          <w:rFonts w:ascii="Calibri" w:hAnsi="Calibri"/>
          <w:color w:val="auto"/>
          <w:sz w:val="22"/>
          <w:szCs w:val="22"/>
          <w:lang w:val="pl-PL"/>
        </w:rPr>
        <w:t xml:space="preserve"> </w:t>
      </w:r>
      <w:r w:rsidR="00A42810">
        <w:rPr>
          <w:rFonts w:ascii="Calibri" w:hAnsi="Calibri"/>
          <w:color w:val="auto"/>
          <w:sz w:val="22"/>
          <w:szCs w:val="22"/>
          <w:lang w:val="pl-PL"/>
        </w:rPr>
        <w:t xml:space="preserve">wartości </w:t>
      </w:r>
      <w:r w:rsidR="004E0E0B">
        <w:rPr>
          <w:rFonts w:ascii="Calibri" w:hAnsi="Calibri"/>
          <w:color w:val="auto"/>
          <w:sz w:val="22"/>
          <w:szCs w:val="22"/>
          <w:lang w:val="pl-PL"/>
        </w:rPr>
        <w:t>udzielanych kredytów mieszkaniowych</w:t>
      </w:r>
    </w:p>
    <w:p w:rsidR="00737BD9" w:rsidRPr="003D6DF1" w:rsidRDefault="00A56666" w:rsidP="00A56666">
      <w:pPr>
        <w:pStyle w:val="Zwykytekst"/>
        <w:jc w:val="both"/>
        <w:rPr>
          <w:b/>
          <w:sz w:val="22"/>
          <w:szCs w:val="22"/>
        </w:rPr>
      </w:pPr>
      <w:r w:rsidRPr="00647E6F">
        <w:rPr>
          <w:b/>
          <w:sz w:val="22"/>
          <w:szCs w:val="22"/>
          <w:lang w:val="pl-PL"/>
        </w:rPr>
        <w:br/>
      </w:r>
      <w:r w:rsidR="00666CBB">
        <w:rPr>
          <w:b/>
          <w:sz w:val="22"/>
          <w:szCs w:val="22"/>
          <w:lang w:val="pl-PL"/>
        </w:rPr>
        <w:t xml:space="preserve">Rok </w:t>
      </w:r>
      <w:r w:rsidR="00947A89">
        <w:rPr>
          <w:b/>
          <w:sz w:val="22"/>
          <w:szCs w:val="22"/>
          <w:lang w:val="pl-PL"/>
        </w:rPr>
        <w:t xml:space="preserve">2015 zakończył się kolejnym rekordem wartości udzielonych kredytów konsumpcyjnych, oraz  wzrostem </w:t>
      </w:r>
      <w:r w:rsidR="001377D6">
        <w:rPr>
          <w:b/>
          <w:sz w:val="22"/>
          <w:szCs w:val="22"/>
          <w:lang w:val="pl-PL"/>
        </w:rPr>
        <w:t xml:space="preserve">wartości </w:t>
      </w:r>
      <w:r w:rsidR="00947A89">
        <w:rPr>
          <w:b/>
          <w:sz w:val="22"/>
          <w:szCs w:val="22"/>
          <w:lang w:val="pl-PL"/>
        </w:rPr>
        <w:t>udzielonych kredytów mieszkaniowych.</w:t>
      </w:r>
      <w:r w:rsidR="00D241C7">
        <w:rPr>
          <w:b/>
          <w:sz w:val="22"/>
          <w:szCs w:val="22"/>
          <w:lang w:val="pl-PL"/>
        </w:rPr>
        <w:t xml:space="preserve"> W oparciu </w:t>
      </w:r>
      <w:r w:rsidR="003D6DF1">
        <w:rPr>
          <w:b/>
          <w:sz w:val="22"/>
          <w:szCs w:val="22"/>
          <w:lang w:val="pl-PL"/>
        </w:rPr>
        <w:t>o dane</w:t>
      </w:r>
      <w:r w:rsidR="00D241C7">
        <w:rPr>
          <w:b/>
          <w:sz w:val="22"/>
          <w:szCs w:val="22"/>
          <w:lang w:val="pl-PL"/>
        </w:rPr>
        <w:t xml:space="preserve"> </w:t>
      </w:r>
      <w:r w:rsidR="001377D6">
        <w:rPr>
          <w:b/>
          <w:sz w:val="22"/>
          <w:szCs w:val="22"/>
          <w:lang w:val="pl-PL"/>
        </w:rPr>
        <w:t>makroekonomiczn</w:t>
      </w:r>
      <w:r w:rsidR="003D6DF1">
        <w:rPr>
          <w:b/>
          <w:sz w:val="22"/>
          <w:szCs w:val="22"/>
          <w:lang w:val="pl-PL"/>
        </w:rPr>
        <w:t>e</w:t>
      </w:r>
      <w:r w:rsidR="001377D6">
        <w:rPr>
          <w:b/>
          <w:sz w:val="22"/>
          <w:szCs w:val="22"/>
          <w:lang w:val="pl-PL"/>
        </w:rPr>
        <w:t>, bezpośrednio i pośrednio wpływając</w:t>
      </w:r>
      <w:r w:rsidR="003D6DF1">
        <w:rPr>
          <w:b/>
          <w:sz w:val="22"/>
          <w:szCs w:val="22"/>
          <w:lang w:val="pl-PL"/>
        </w:rPr>
        <w:t>e</w:t>
      </w:r>
      <w:r w:rsidR="001377D6">
        <w:rPr>
          <w:b/>
          <w:sz w:val="22"/>
          <w:szCs w:val="22"/>
          <w:lang w:val="pl-PL"/>
        </w:rPr>
        <w:t xml:space="preserve"> na koniunkturę kredytową</w:t>
      </w:r>
      <w:r w:rsidR="00D241C7">
        <w:rPr>
          <w:b/>
          <w:sz w:val="22"/>
          <w:szCs w:val="22"/>
          <w:lang w:val="pl-PL"/>
        </w:rPr>
        <w:t xml:space="preserve">, </w:t>
      </w:r>
      <w:r w:rsidR="003D6DF1">
        <w:rPr>
          <w:b/>
          <w:sz w:val="22"/>
          <w:szCs w:val="22"/>
          <w:lang w:val="pl-PL"/>
        </w:rPr>
        <w:t xml:space="preserve">na podstawie </w:t>
      </w:r>
      <w:r w:rsidR="001377D6">
        <w:rPr>
          <w:b/>
          <w:sz w:val="22"/>
          <w:szCs w:val="22"/>
          <w:lang w:val="pl-PL"/>
        </w:rPr>
        <w:t>obserwacj</w:t>
      </w:r>
      <w:r w:rsidR="003D6DF1">
        <w:rPr>
          <w:b/>
          <w:sz w:val="22"/>
          <w:szCs w:val="22"/>
          <w:lang w:val="pl-PL"/>
        </w:rPr>
        <w:t>i</w:t>
      </w:r>
      <w:r w:rsidR="001377D6">
        <w:rPr>
          <w:b/>
          <w:sz w:val="22"/>
          <w:szCs w:val="22"/>
          <w:lang w:val="pl-PL"/>
        </w:rPr>
        <w:t xml:space="preserve"> trendów rynkowych </w:t>
      </w:r>
      <w:r w:rsidR="00D241C7">
        <w:rPr>
          <w:b/>
          <w:sz w:val="22"/>
          <w:szCs w:val="22"/>
          <w:lang w:val="pl-PL"/>
        </w:rPr>
        <w:t xml:space="preserve">oraz </w:t>
      </w:r>
      <w:r w:rsidR="003D6DF1">
        <w:rPr>
          <w:b/>
          <w:sz w:val="22"/>
          <w:szCs w:val="22"/>
          <w:lang w:val="pl-PL"/>
        </w:rPr>
        <w:t xml:space="preserve">najnowszych </w:t>
      </w:r>
      <w:r w:rsidR="001377D6">
        <w:rPr>
          <w:b/>
          <w:sz w:val="22"/>
          <w:szCs w:val="22"/>
          <w:lang w:val="pl-PL"/>
        </w:rPr>
        <w:t>odczyt</w:t>
      </w:r>
      <w:r w:rsidR="003D6DF1">
        <w:rPr>
          <w:b/>
          <w:sz w:val="22"/>
          <w:szCs w:val="22"/>
          <w:lang w:val="pl-PL"/>
        </w:rPr>
        <w:t>ów</w:t>
      </w:r>
      <w:r w:rsidR="001377D6">
        <w:rPr>
          <w:b/>
          <w:sz w:val="22"/>
          <w:szCs w:val="22"/>
          <w:lang w:val="pl-PL"/>
        </w:rPr>
        <w:t xml:space="preserve"> Indeksów Popytu BIK</w:t>
      </w:r>
      <w:r w:rsidR="00D241C7">
        <w:rPr>
          <w:b/>
          <w:sz w:val="22"/>
          <w:szCs w:val="22"/>
          <w:lang w:val="pl-PL"/>
        </w:rPr>
        <w:t xml:space="preserve">, BIK prognozuje </w:t>
      </w:r>
      <w:r w:rsidR="00737BD9">
        <w:rPr>
          <w:b/>
          <w:sz w:val="22"/>
          <w:szCs w:val="22"/>
          <w:lang w:val="pl-PL"/>
        </w:rPr>
        <w:t xml:space="preserve">na rok 2016 - </w:t>
      </w:r>
      <w:r w:rsidR="00737BD9" w:rsidRPr="003D6DF1">
        <w:rPr>
          <w:b/>
          <w:sz w:val="22"/>
          <w:szCs w:val="22"/>
          <w:lang w:val="pl-PL"/>
        </w:rPr>
        <w:t xml:space="preserve">stabilizację wartości sprzedaży kredytów konsumpcyjnych i umiarkowane wzrosty wartości sprzedaży kredytów mieszkaniowych. </w:t>
      </w:r>
    </w:p>
    <w:p w:rsidR="00240363" w:rsidRDefault="00240363" w:rsidP="00A56666">
      <w:pPr>
        <w:pStyle w:val="Zwykytekst"/>
        <w:jc w:val="both"/>
        <w:rPr>
          <w:b/>
          <w:sz w:val="22"/>
          <w:szCs w:val="22"/>
          <w:lang w:val="pl-PL"/>
        </w:rPr>
      </w:pPr>
    </w:p>
    <w:p w:rsidR="00A56666" w:rsidRPr="00647E6F" w:rsidRDefault="00A56666" w:rsidP="00A56666">
      <w:pPr>
        <w:pStyle w:val="Zwykytekst"/>
        <w:jc w:val="both"/>
        <w:rPr>
          <w:b/>
          <w:sz w:val="22"/>
          <w:szCs w:val="22"/>
          <w:lang w:val="pl-PL"/>
        </w:rPr>
      </w:pPr>
      <w:r w:rsidRPr="00647E6F">
        <w:rPr>
          <w:b/>
          <w:sz w:val="22"/>
          <w:szCs w:val="22"/>
          <w:lang w:val="pl-PL"/>
        </w:rPr>
        <w:t>Kredyty konsumpcyjne</w:t>
      </w:r>
    </w:p>
    <w:p w:rsidR="00A56666" w:rsidRPr="00647E6F" w:rsidRDefault="00A56666" w:rsidP="00A56666">
      <w:pPr>
        <w:pStyle w:val="Zwykytekst"/>
        <w:jc w:val="both"/>
        <w:rPr>
          <w:b/>
          <w:sz w:val="22"/>
          <w:szCs w:val="22"/>
          <w:lang w:val="pl-PL"/>
        </w:rPr>
      </w:pPr>
    </w:p>
    <w:p w:rsidR="00A56666" w:rsidRPr="00647E6F" w:rsidRDefault="00A56666" w:rsidP="00A56666">
      <w:pPr>
        <w:pStyle w:val="Zwykytekst"/>
        <w:jc w:val="both"/>
        <w:rPr>
          <w:sz w:val="22"/>
          <w:szCs w:val="22"/>
          <w:lang w:val="pl-PL"/>
        </w:rPr>
      </w:pPr>
      <w:r w:rsidRPr="00647E6F">
        <w:rPr>
          <w:sz w:val="22"/>
          <w:szCs w:val="22"/>
          <w:lang w:val="pl-PL"/>
        </w:rPr>
        <w:t xml:space="preserve">W 2015 r. banki </w:t>
      </w:r>
      <w:r w:rsidR="00A56348">
        <w:rPr>
          <w:sz w:val="22"/>
          <w:szCs w:val="22"/>
          <w:lang w:val="pl-PL"/>
        </w:rPr>
        <w:t xml:space="preserve">oraz SKOK-i </w:t>
      </w:r>
      <w:r w:rsidRPr="00647E6F">
        <w:rPr>
          <w:sz w:val="22"/>
          <w:szCs w:val="22"/>
          <w:lang w:val="pl-PL"/>
        </w:rPr>
        <w:t xml:space="preserve">udzieliły </w:t>
      </w:r>
      <w:r w:rsidR="00A56348">
        <w:rPr>
          <w:sz w:val="22"/>
          <w:szCs w:val="22"/>
          <w:lang w:val="pl-PL"/>
        </w:rPr>
        <w:t xml:space="preserve">łącznie </w:t>
      </w:r>
      <w:r w:rsidR="00B21BA6" w:rsidRPr="00A56348">
        <w:rPr>
          <w:b/>
          <w:sz w:val="22"/>
          <w:szCs w:val="22"/>
          <w:lang w:val="pl-PL"/>
        </w:rPr>
        <w:t>7,3</w:t>
      </w:r>
      <w:r w:rsidRPr="00A56348">
        <w:rPr>
          <w:b/>
          <w:sz w:val="22"/>
          <w:szCs w:val="22"/>
          <w:lang w:val="pl-PL"/>
        </w:rPr>
        <w:t xml:space="preserve"> mln kredytów konsu</w:t>
      </w:r>
      <w:r w:rsidR="00B21BA6" w:rsidRPr="00A56348">
        <w:rPr>
          <w:b/>
          <w:sz w:val="22"/>
          <w:szCs w:val="22"/>
          <w:lang w:val="pl-PL"/>
        </w:rPr>
        <w:t>mpcyjnych</w:t>
      </w:r>
      <w:r w:rsidR="00B21BA6" w:rsidRPr="00647E6F">
        <w:rPr>
          <w:sz w:val="22"/>
          <w:szCs w:val="22"/>
          <w:lang w:val="pl-PL"/>
        </w:rPr>
        <w:t xml:space="preserve">, co oznacza spadek </w:t>
      </w:r>
      <w:r w:rsidR="00A56348">
        <w:rPr>
          <w:sz w:val="22"/>
          <w:szCs w:val="22"/>
          <w:lang w:val="pl-PL"/>
        </w:rPr>
        <w:t xml:space="preserve">liczby udzielonych kredytów </w:t>
      </w:r>
      <w:r w:rsidR="00B21BA6" w:rsidRPr="00647E6F">
        <w:rPr>
          <w:sz w:val="22"/>
          <w:szCs w:val="22"/>
          <w:lang w:val="pl-PL"/>
        </w:rPr>
        <w:t>o 4,5 proc.</w:t>
      </w:r>
      <w:r w:rsidRPr="00647E6F">
        <w:rPr>
          <w:sz w:val="22"/>
          <w:szCs w:val="22"/>
          <w:lang w:val="pl-PL"/>
        </w:rPr>
        <w:t xml:space="preserve"> w porównaniu do </w:t>
      </w:r>
      <w:r w:rsidR="00B21BA6" w:rsidRPr="00647E6F">
        <w:rPr>
          <w:sz w:val="22"/>
          <w:szCs w:val="22"/>
          <w:lang w:val="pl-PL"/>
        </w:rPr>
        <w:t>roku 2014</w:t>
      </w:r>
      <w:r w:rsidRPr="00647E6F">
        <w:rPr>
          <w:sz w:val="22"/>
          <w:szCs w:val="22"/>
          <w:lang w:val="pl-PL"/>
        </w:rPr>
        <w:t xml:space="preserve"> (</w:t>
      </w:r>
      <w:r w:rsidR="00B21BA6" w:rsidRPr="00647E6F">
        <w:rPr>
          <w:sz w:val="22"/>
          <w:szCs w:val="22"/>
          <w:lang w:val="pl-PL"/>
        </w:rPr>
        <w:t>7,6</w:t>
      </w:r>
      <w:r w:rsidRPr="00647E6F">
        <w:rPr>
          <w:sz w:val="22"/>
          <w:szCs w:val="22"/>
          <w:lang w:val="pl-PL"/>
        </w:rPr>
        <w:t xml:space="preserve"> </w:t>
      </w:r>
      <w:r w:rsidR="00B21BA6" w:rsidRPr="00647E6F">
        <w:rPr>
          <w:sz w:val="22"/>
          <w:szCs w:val="22"/>
          <w:lang w:val="pl-PL"/>
        </w:rPr>
        <w:t>mln w okresie styczeń – grudzień</w:t>
      </w:r>
      <w:r w:rsidRPr="00647E6F">
        <w:rPr>
          <w:sz w:val="22"/>
          <w:szCs w:val="22"/>
          <w:lang w:val="pl-PL"/>
        </w:rPr>
        <w:t xml:space="preserve"> 2014 r.). </w:t>
      </w:r>
      <w:r w:rsidR="00A56348">
        <w:rPr>
          <w:sz w:val="22"/>
          <w:szCs w:val="22"/>
          <w:lang w:val="pl-PL"/>
        </w:rPr>
        <w:t xml:space="preserve">Spadkowi liczby udzielanych kredytów towarzyszył jednak wzrost wartości udzielonych kredytów </w:t>
      </w:r>
      <w:r w:rsidR="00B21BA6" w:rsidRPr="00647E6F">
        <w:rPr>
          <w:sz w:val="22"/>
          <w:szCs w:val="22"/>
          <w:lang w:val="pl-PL"/>
        </w:rPr>
        <w:t>o 4</w:t>
      </w:r>
      <w:r w:rsidR="004E06B3">
        <w:rPr>
          <w:sz w:val="22"/>
          <w:szCs w:val="22"/>
          <w:lang w:val="pl-PL"/>
        </w:rPr>
        <w:t>,2 proc.</w:t>
      </w:r>
      <w:r w:rsidRPr="00647E6F">
        <w:rPr>
          <w:sz w:val="22"/>
          <w:szCs w:val="22"/>
          <w:lang w:val="pl-PL"/>
        </w:rPr>
        <w:t xml:space="preserve">– z </w:t>
      </w:r>
      <w:r w:rsidR="00B21BA6" w:rsidRPr="00647E6F">
        <w:rPr>
          <w:sz w:val="22"/>
          <w:szCs w:val="22"/>
          <w:lang w:val="pl-PL"/>
        </w:rPr>
        <w:t xml:space="preserve">77,8 mld zł w 2014 r. do </w:t>
      </w:r>
      <w:r w:rsidR="00B21BA6" w:rsidRPr="00A56348">
        <w:rPr>
          <w:b/>
          <w:sz w:val="22"/>
          <w:szCs w:val="22"/>
          <w:lang w:val="pl-PL"/>
        </w:rPr>
        <w:t>79,5 mld zł</w:t>
      </w:r>
      <w:r w:rsidR="00B21BA6" w:rsidRPr="00647E6F">
        <w:rPr>
          <w:sz w:val="22"/>
          <w:szCs w:val="22"/>
          <w:lang w:val="pl-PL"/>
        </w:rPr>
        <w:t xml:space="preserve"> </w:t>
      </w:r>
      <w:r w:rsidR="00A56348">
        <w:rPr>
          <w:sz w:val="22"/>
          <w:szCs w:val="22"/>
          <w:lang w:val="pl-PL"/>
        </w:rPr>
        <w:t xml:space="preserve"> w</w:t>
      </w:r>
      <w:r w:rsidR="00B21BA6" w:rsidRPr="00647E6F">
        <w:rPr>
          <w:sz w:val="22"/>
          <w:szCs w:val="22"/>
          <w:lang w:val="pl-PL"/>
        </w:rPr>
        <w:t xml:space="preserve"> 2015 r</w:t>
      </w:r>
      <w:r w:rsidR="00CF4054">
        <w:rPr>
          <w:sz w:val="22"/>
          <w:szCs w:val="22"/>
          <w:lang w:val="pl-PL"/>
        </w:rPr>
        <w:t>.</w:t>
      </w:r>
    </w:p>
    <w:p w:rsidR="007751BD" w:rsidRPr="00647E6F" w:rsidRDefault="007751BD" w:rsidP="00A56666">
      <w:pPr>
        <w:pStyle w:val="Zwykytekst"/>
        <w:jc w:val="both"/>
        <w:rPr>
          <w:sz w:val="22"/>
          <w:szCs w:val="22"/>
          <w:lang w:val="pl-PL"/>
        </w:rPr>
      </w:pPr>
    </w:p>
    <w:p w:rsidR="0074321C" w:rsidRPr="003D6DF1" w:rsidRDefault="00713BF7" w:rsidP="00A56666">
      <w:pPr>
        <w:pStyle w:val="Zwykytekst"/>
        <w:jc w:val="both"/>
        <w:rPr>
          <w:sz w:val="22"/>
          <w:szCs w:val="22"/>
          <w:u w:val="single"/>
          <w:lang w:val="pl-PL"/>
        </w:rPr>
      </w:pPr>
      <w:r>
        <w:rPr>
          <w:sz w:val="22"/>
          <w:szCs w:val="22"/>
          <w:u w:val="single"/>
          <w:lang w:val="pl-PL"/>
        </w:rPr>
        <w:t>G</w:t>
      </w:r>
      <w:r w:rsidR="0074321C" w:rsidRPr="003D6DF1">
        <w:rPr>
          <w:sz w:val="22"/>
          <w:szCs w:val="22"/>
          <w:u w:val="single"/>
          <w:lang w:val="pl-PL"/>
        </w:rPr>
        <w:t>łówne trendy na rynku kredytów konsumpcyjnych</w:t>
      </w:r>
      <w:r w:rsidR="00104B0A" w:rsidRPr="003D6DF1">
        <w:rPr>
          <w:sz w:val="22"/>
          <w:szCs w:val="22"/>
          <w:u w:val="single"/>
          <w:lang w:val="pl-PL"/>
        </w:rPr>
        <w:t>:</w:t>
      </w:r>
    </w:p>
    <w:p w:rsidR="003D6DF1" w:rsidRDefault="003D6DF1" w:rsidP="00A56666">
      <w:pPr>
        <w:pStyle w:val="Zwykytekst"/>
        <w:jc w:val="both"/>
        <w:rPr>
          <w:sz w:val="22"/>
          <w:szCs w:val="22"/>
          <w:lang w:val="pl-PL"/>
        </w:rPr>
      </w:pPr>
    </w:p>
    <w:p w:rsidR="007751BD" w:rsidRDefault="00CF4054" w:rsidP="00A56666">
      <w:pPr>
        <w:pStyle w:val="Zwykytekst"/>
        <w:jc w:val="both"/>
        <w:rPr>
          <w:sz w:val="22"/>
          <w:szCs w:val="22"/>
          <w:lang w:val="pl-PL"/>
        </w:rPr>
      </w:pPr>
      <w:r>
        <w:rPr>
          <w:sz w:val="22"/>
          <w:szCs w:val="22"/>
          <w:lang w:val="pl-PL"/>
        </w:rPr>
        <w:t>W</w:t>
      </w:r>
      <w:r w:rsidR="007751BD" w:rsidRPr="00647E6F">
        <w:rPr>
          <w:sz w:val="22"/>
          <w:szCs w:val="22"/>
          <w:lang w:val="pl-PL"/>
        </w:rPr>
        <w:t xml:space="preserve"> 2015 r. można było zaobserwować wyraźny spadek liczby </w:t>
      </w:r>
      <w:r w:rsidR="00AE45AE" w:rsidRPr="00647E6F">
        <w:rPr>
          <w:sz w:val="22"/>
          <w:szCs w:val="22"/>
          <w:lang w:val="pl-PL"/>
        </w:rPr>
        <w:t>udziel</w:t>
      </w:r>
      <w:r w:rsidR="00AE45AE">
        <w:rPr>
          <w:sz w:val="22"/>
          <w:szCs w:val="22"/>
          <w:lang w:val="pl-PL"/>
        </w:rPr>
        <w:t>a</w:t>
      </w:r>
      <w:r w:rsidR="00AE45AE" w:rsidRPr="00647E6F">
        <w:rPr>
          <w:sz w:val="22"/>
          <w:szCs w:val="22"/>
          <w:lang w:val="pl-PL"/>
        </w:rPr>
        <w:t xml:space="preserve">nych </w:t>
      </w:r>
      <w:r w:rsidR="007751BD" w:rsidRPr="00647E6F">
        <w:rPr>
          <w:sz w:val="22"/>
          <w:szCs w:val="22"/>
          <w:lang w:val="pl-PL"/>
        </w:rPr>
        <w:t xml:space="preserve">kredytów nisko-kwotowych (do 15 tys. zł), </w:t>
      </w:r>
      <w:r w:rsidR="00AE45AE">
        <w:rPr>
          <w:sz w:val="22"/>
          <w:szCs w:val="22"/>
          <w:lang w:val="pl-PL"/>
        </w:rPr>
        <w:t>przy</w:t>
      </w:r>
      <w:r w:rsidR="00AE45AE" w:rsidRPr="00647E6F">
        <w:rPr>
          <w:sz w:val="22"/>
          <w:szCs w:val="22"/>
          <w:lang w:val="pl-PL"/>
        </w:rPr>
        <w:t xml:space="preserve"> jednocze</w:t>
      </w:r>
      <w:r w:rsidR="00AE45AE">
        <w:rPr>
          <w:sz w:val="22"/>
          <w:szCs w:val="22"/>
          <w:lang w:val="pl-PL"/>
        </w:rPr>
        <w:t>snym</w:t>
      </w:r>
      <w:r w:rsidR="00AE45AE" w:rsidRPr="00647E6F">
        <w:rPr>
          <w:sz w:val="22"/>
          <w:szCs w:val="22"/>
          <w:lang w:val="pl-PL"/>
        </w:rPr>
        <w:t xml:space="preserve"> </w:t>
      </w:r>
      <w:r w:rsidR="00AE45AE">
        <w:rPr>
          <w:sz w:val="22"/>
          <w:szCs w:val="22"/>
          <w:lang w:val="pl-PL"/>
        </w:rPr>
        <w:t xml:space="preserve">zwiększaniu </w:t>
      </w:r>
      <w:r w:rsidR="00AE45AE" w:rsidRPr="00647E6F">
        <w:rPr>
          <w:sz w:val="22"/>
          <w:szCs w:val="22"/>
          <w:lang w:val="pl-PL"/>
        </w:rPr>
        <w:t>liczb</w:t>
      </w:r>
      <w:r w:rsidR="00AE45AE">
        <w:rPr>
          <w:sz w:val="22"/>
          <w:szCs w:val="22"/>
          <w:lang w:val="pl-PL"/>
        </w:rPr>
        <w:t>y udzielanych</w:t>
      </w:r>
      <w:r w:rsidR="00AE45AE" w:rsidRPr="00647E6F">
        <w:rPr>
          <w:sz w:val="22"/>
          <w:szCs w:val="22"/>
          <w:lang w:val="pl-PL"/>
        </w:rPr>
        <w:t xml:space="preserve"> </w:t>
      </w:r>
      <w:r w:rsidR="007751BD" w:rsidRPr="00647E6F">
        <w:rPr>
          <w:sz w:val="22"/>
          <w:szCs w:val="22"/>
          <w:lang w:val="pl-PL"/>
        </w:rPr>
        <w:t xml:space="preserve">kredytów </w:t>
      </w:r>
      <w:r w:rsidR="00737BD9">
        <w:rPr>
          <w:sz w:val="22"/>
          <w:szCs w:val="22"/>
          <w:lang w:val="pl-PL"/>
        </w:rPr>
        <w:t xml:space="preserve">na wysokie kwoty </w:t>
      </w:r>
      <w:r w:rsidR="007751BD" w:rsidRPr="00647E6F">
        <w:rPr>
          <w:sz w:val="22"/>
          <w:szCs w:val="22"/>
          <w:lang w:val="pl-PL"/>
        </w:rPr>
        <w:t>(powyżej 15 tys. zł).</w:t>
      </w:r>
      <w:r w:rsidR="00734EA2" w:rsidRPr="00647E6F">
        <w:rPr>
          <w:sz w:val="22"/>
          <w:szCs w:val="22"/>
          <w:lang w:val="pl-PL"/>
        </w:rPr>
        <w:t xml:space="preserve"> W efekcie średnia kwota udzielonego kredytu </w:t>
      </w:r>
      <w:r w:rsidR="00F52D5B">
        <w:rPr>
          <w:sz w:val="22"/>
          <w:szCs w:val="22"/>
          <w:lang w:val="pl-PL"/>
        </w:rPr>
        <w:t>wzrosła</w:t>
      </w:r>
      <w:r w:rsidR="00734EA2" w:rsidRPr="00647E6F">
        <w:rPr>
          <w:sz w:val="22"/>
          <w:szCs w:val="22"/>
          <w:lang w:val="pl-PL"/>
        </w:rPr>
        <w:t xml:space="preserve"> w tym okresie o 9,1 proc. </w:t>
      </w:r>
      <w:r w:rsidR="00273A52" w:rsidRPr="00647E6F">
        <w:rPr>
          <w:sz w:val="22"/>
          <w:szCs w:val="22"/>
          <w:lang w:val="pl-PL"/>
        </w:rPr>
        <w:t>do poziomu</w:t>
      </w:r>
      <w:r w:rsidR="00734EA2" w:rsidRPr="00647E6F">
        <w:rPr>
          <w:sz w:val="22"/>
          <w:szCs w:val="22"/>
          <w:lang w:val="pl-PL"/>
        </w:rPr>
        <w:t xml:space="preserve"> 10,8 tys. zł.</w:t>
      </w:r>
    </w:p>
    <w:p w:rsidR="00CF4054" w:rsidRDefault="00CF4054" w:rsidP="00A56666">
      <w:pPr>
        <w:pStyle w:val="Zwykytekst"/>
        <w:jc w:val="both"/>
        <w:rPr>
          <w:sz w:val="22"/>
          <w:szCs w:val="22"/>
          <w:lang w:val="pl-PL"/>
        </w:rPr>
      </w:pPr>
    </w:p>
    <w:p w:rsidR="009B5516" w:rsidRDefault="000B4A7C" w:rsidP="009B5516">
      <w:pPr>
        <w:pStyle w:val="Zwykytekst"/>
        <w:jc w:val="both"/>
        <w:rPr>
          <w:lang w:val="pl-PL"/>
        </w:rPr>
      </w:pPr>
      <w:r>
        <w:rPr>
          <w:i/>
          <w:sz w:val="22"/>
          <w:szCs w:val="22"/>
          <w:lang w:val="pl-PL"/>
        </w:rPr>
        <w:t xml:space="preserve">- </w:t>
      </w:r>
      <w:r w:rsidR="00B37B46">
        <w:rPr>
          <w:i/>
          <w:sz w:val="22"/>
          <w:szCs w:val="22"/>
          <w:lang w:val="pl-PL"/>
        </w:rPr>
        <w:t>Wartość udzielonych kredytów konsumpcyjnych przez banki w 2015</w:t>
      </w:r>
      <w:r>
        <w:rPr>
          <w:i/>
          <w:sz w:val="22"/>
          <w:szCs w:val="22"/>
          <w:lang w:val="pl-PL"/>
        </w:rPr>
        <w:t xml:space="preserve"> </w:t>
      </w:r>
      <w:r w:rsidR="00B37B46">
        <w:rPr>
          <w:i/>
          <w:sz w:val="22"/>
          <w:szCs w:val="22"/>
          <w:lang w:val="pl-PL"/>
        </w:rPr>
        <w:t>r. była rekordowa, jednak wzrost wartości kredytów nie wynikał z liczby udzielonych kredytów, lecz ze wzrostu średni</w:t>
      </w:r>
      <w:r>
        <w:rPr>
          <w:i/>
          <w:sz w:val="22"/>
          <w:szCs w:val="22"/>
          <w:lang w:val="pl-PL"/>
        </w:rPr>
        <w:t>ej kwoty zaciągniętego kredytu</w:t>
      </w:r>
      <w:r w:rsidR="00240363">
        <w:rPr>
          <w:i/>
          <w:sz w:val="22"/>
          <w:szCs w:val="22"/>
          <w:lang w:val="pl-PL"/>
        </w:rPr>
        <w:t xml:space="preserve"> -</w:t>
      </w:r>
      <w:r w:rsidRPr="000B4A7C">
        <w:rPr>
          <w:sz w:val="22"/>
          <w:szCs w:val="22"/>
          <w:lang w:val="pl-PL"/>
        </w:rPr>
        <w:t xml:space="preserve"> mówi dr Mariusz Cholewa, prezes BIK.</w:t>
      </w:r>
      <w:r>
        <w:rPr>
          <w:i/>
          <w:sz w:val="22"/>
          <w:szCs w:val="22"/>
          <w:lang w:val="pl-PL"/>
        </w:rPr>
        <w:t xml:space="preserve"> - </w:t>
      </w:r>
      <w:r w:rsidR="00B37B46">
        <w:rPr>
          <w:i/>
          <w:sz w:val="22"/>
          <w:szCs w:val="22"/>
          <w:lang w:val="pl-PL"/>
        </w:rPr>
        <w:t xml:space="preserve">Do spadku liczby kredytów na niższe kwoty przyczyniła się konkurencja aktywnych w tym segmencie </w:t>
      </w:r>
      <w:r w:rsidR="003D6DF1" w:rsidRPr="009B5516">
        <w:rPr>
          <w:i/>
          <w:sz w:val="22"/>
          <w:szCs w:val="22"/>
          <w:lang w:val="pl-PL"/>
        </w:rPr>
        <w:t>firm pożyczkowych</w:t>
      </w:r>
      <w:r w:rsidR="00E22DD5">
        <w:rPr>
          <w:i/>
          <w:sz w:val="22"/>
          <w:szCs w:val="22"/>
          <w:lang w:val="pl-PL"/>
        </w:rPr>
        <w:t>.</w:t>
      </w:r>
      <w:r w:rsidR="00B37B46">
        <w:rPr>
          <w:i/>
          <w:sz w:val="22"/>
          <w:szCs w:val="22"/>
          <w:lang w:val="pl-PL"/>
        </w:rPr>
        <w:t xml:space="preserve"> </w:t>
      </w:r>
      <w:r w:rsidR="00E22DD5">
        <w:rPr>
          <w:i/>
          <w:sz w:val="22"/>
          <w:szCs w:val="22"/>
          <w:lang w:val="pl-PL"/>
        </w:rPr>
        <w:t>Z</w:t>
      </w:r>
      <w:r w:rsidR="00B37B46">
        <w:rPr>
          <w:i/>
          <w:sz w:val="22"/>
          <w:szCs w:val="22"/>
          <w:lang w:val="pl-PL"/>
        </w:rPr>
        <w:t xml:space="preserve"> drugiej strony b</w:t>
      </w:r>
      <w:r w:rsidR="00CF4054" w:rsidRPr="009B5516">
        <w:rPr>
          <w:i/>
          <w:sz w:val="22"/>
          <w:szCs w:val="22"/>
          <w:lang w:val="pl-PL"/>
        </w:rPr>
        <w:t>anki doceniają</w:t>
      </w:r>
      <w:r w:rsidR="00B37B46">
        <w:rPr>
          <w:i/>
          <w:sz w:val="22"/>
          <w:szCs w:val="22"/>
          <w:lang w:val="pl-PL"/>
        </w:rPr>
        <w:t>c</w:t>
      </w:r>
      <w:r w:rsidR="00CF4054" w:rsidRPr="009B5516">
        <w:rPr>
          <w:i/>
          <w:sz w:val="22"/>
          <w:szCs w:val="22"/>
          <w:lang w:val="pl-PL"/>
        </w:rPr>
        <w:t xml:space="preserve"> lojalnych klientów</w:t>
      </w:r>
      <w:r w:rsidR="0068555A" w:rsidRPr="009B5516">
        <w:rPr>
          <w:i/>
          <w:sz w:val="22"/>
          <w:szCs w:val="22"/>
          <w:lang w:val="pl-PL"/>
        </w:rPr>
        <w:t>, posiadających d</w:t>
      </w:r>
      <w:r w:rsidR="00B37B46">
        <w:rPr>
          <w:i/>
          <w:sz w:val="22"/>
          <w:szCs w:val="22"/>
          <w:lang w:val="pl-PL"/>
        </w:rPr>
        <w:t xml:space="preserve">ługoterminową relację z </w:t>
      </w:r>
      <w:r w:rsidR="0068555A" w:rsidRPr="009B5516">
        <w:rPr>
          <w:i/>
          <w:sz w:val="22"/>
          <w:szCs w:val="22"/>
          <w:lang w:val="pl-PL"/>
        </w:rPr>
        <w:t>bankiem</w:t>
      </w:r>
      <w:r w:rsidR="00E22DD5">
        <w:rPr>
          <w:i/>
          <w:sz w:val="22"/>
          <w:szCs w:val="22"/>
          <w:lang w:val="pl-PL"/>
        </w:rPr>
        <w:t>,</w:t>
      </w:r>
      <w:r w:rsidR="0068555A" w:rsidRPr="009B5516">
        <w:rPr>
          <w:i/>
          <w:sz w:val="22"/>
          <w:szCs w:val="22"/>
          <w:lang w:val="pl-PL"/>
        </w:rPr>
        <w:t xml:space="preserve"> oferują im kredyty na wyższe kwoty. </w:t>
      </w:r>
      <w:r w:rsidR="009B5516" w:rsidRPr="0023681E">
        <w:rPr>
          <w:i/>
          <w:sz w:val="22"/>
          <w:szCs w:val="22"/>
          <w:lang w:val="pl-PL"/>
        </w:rPr>
        <w:t xml:space="preserve">Jakość udzielonych kredytów konsumpcyjnych </w:t>
      </w:r>
      <w:r w:rsidR="00E22DD5" w:rsidRPr="0023681E">
        <w:rPr>
          <w:i/>
          <w:sz w:val="22"/>
          <w:szCs w:val="22"/>
          <w:lang w:val="pl-PL"/>
        </w:rPr>
        <w:t xml:space="preserve">w ostatnich latach jest </w:t>
      </w:r>
      <w:r w:rsidR="009B5516" w:rsidRPr="0023681E">
        <w:rPr>
          <w:i/>
          <w:sz w:val="22"/>
          <w:szCs w:val="22"/>
          <w:lang w:val="pl-PL"/>
        </w:rPr>
        <w:t xml:space="preserve">na dobrym, stabilnym poziomie </w:t>
      </w:r>
      <w:r w:rsidR="00E22DD5" w:rsidRPr="0023681E">
        <w:rPr>
          <w:i/>
          <w:sz w:val="22"/>
          <w:szCs w:val="22"/>
          <w:lang w:val="pl-PL"/>
        </w:rPr>
        <w:t xml:space="preserve">- </w:t>
      </w:r>
      <w:r w:rsidR="009B5516" w:rsidRPr="0023681E">
        <w:rPr>
          <w:i/>
          <w:sz w:val="22"/>
          <w:szCs w:val="22"/>
          <w:lang w:val="pl-PL"/>
        </w:rPr>
        <w:t>docelowa szkodowość kredytów nie przekracza 4 procent</w:t>
      </w:r>
      <w:r w:rsidR="00E22DD5">
        <w:rPr>
          <w:sz w:val="22"/>
          <w:szCs w:val="22"/>
          <w:lang w:val="pl-PL"/>
        </w:rPr>
        <w:t xml:space="preserve"> – </w:t>
      </w:r>
      <w:r w:rsidR="0023681E">
        <w:rPr>
          <w:sz w:val="22"/>
          <w:szCs w:val="22"/>
          <w:lang w:val="pl-PL"/>
        </w:rPr>
        <w:t>dodaje</w:t>
      </w:r>
      <w:r>
        <w:rPr>
          <w:sz w:val="22"/>
          <w:szCs w:val="22"/>
          <w:lang w:val="pl-PL"/>
        </w:rPr>
        <w:t xml:space="preserve"> prezes </w:t>
      </w:r>
      <w:r w:rsidR="0023681E">
        <w:rPr>
          <w:sz w:val="22"/>
          <w:szCs w:val="22"/>
          <w:lang w:val="pl-PL"/>
        </w:rPr>
        <w:t xml:space="preserve">Zarządu </w:t>
      </w:r>
      <w:r>
        <w:rPr>
          <w:sz w:val="22"/>
          <w:szCs w:val="22"/>
          <w:lang w:val="pl-PL"/>
        </w:rPr>
        <w:t xml:space="preserve">BIK. </w:t>
      </w:r>
      <w:r w:rsidR="00E22DD5">
        <w:rPr>
          <w:sz w:val="22"/>
          <w:szCs w:val="22"/>
          <w:lang w:val="pl-PL"/>
        </w:rPr>
        <w:t xml:space="preserve"> </w:t>
      </w:r>
    </w:p>
    <w:p w:rsidR="00713BF7" w:rsidRDefault="00713BF7" w:rsidP="00A56666">
      <w:pPr>
        <w:pStyle w:val="Zwykytekst"/>
        <w:jc w:val="both"/>
        <w:rPr>
          <w:b/>
          <w:sz w:val="22"/>
          <w:szCs w:val="22"/>
          <w:lang w:val="pl-PL"/>
        </w:rPr>
      </w:pPr>
    </w:p>
    <w:p w:rsidR="00A56666" w:rsidRPr="00647E6F" w:rsidRDefault="00A56666" w:rsidP="00A56666">
      <w:pPr>
        <w:pStyle w:val="Zwykytekst"/>
        <w:jc w:val="both"/>
        <w:rPr>
          <w:b/>
          <w:sz w:val="22"/>
          <w:szCs w:val="22"/>
          <w:lang w:val="pl-PL"/>
        </w:rPr>
      </w:pPr>
      <w:r w:rsidRPr="00647E6F">
        <w:rPr>
          <w:b/>
          <w:sz w:val="22"/>
          <w:szCs w:val="22"/>
          <w:lang w:val="pl-PL"/>
        </w:rPr>
        <w:t>Kredyty mieszkaniowe</w:t>
      </w:r>
    </w:p>
    <w:p w:rsidR="00A56666" w:rsidRPr="00647E6F" w:rsidRDefault="00A56666" w:rsidP="00A56666">
      <w:pPr>
        <w:pStyle w:val="Zwykytekst"/>
        <w:jc w:val="both"/>
        <w:rPr>
          <w:sz w:val="22"/>
          <w:szCs w:val="22"/>
          <w:lang w:val="pl-PL"/>
        </w:rPr>
      </w:pPr>
    </w:p>
    <w:p w:rsidR="00647E6F" w:rsidRDefault="00E22DD5" w:rsidP="00A56666">
      <w:pPr>
        <w:pStyle w:val="Zwykytekst"/>
        <w:jc w:val="both"/>
        <w:rPr>
          <w:sz w:val="22"/>
          <w:szCs w:val="22"/>
          <w:lang w:val="pl-PL"/>
        </w:rPr>
      </w:pPr>
      <w:r>
        <w:rPr>
          <w:sz w:val="22"/>
          <w:szCs w:val="22"/>
          <w:lang w:val="pl-PL"/>
        </w:rPr>
        <w:t xml:space="preserve">Wartość udzielonych </w:t>
      </w:r>
      <w:r w:rsidR="00A56666" w:rsidRPr="00647E6F">
        <w:rPr>
          <w:sz w:val="22"/>
          <w:szCs w:val="22"/>
          <w:lang w:val="pl-PL"/>
        </w:rPr>
        <w:t xml:space="preserve">kredytów mieszkaniowych w 2015 r. </w:t>
      </w:r>
      <w:r>
        <w:rPr>
          <w:sz w:val="22"/>
          <w:szCs w:val="22"/>
          <w:lang w:val="pl-PL"/>
        </w:rPr>
        <w:t xml:space="preserve">wzrosła </w:t>
      </w:r>
      <w:r w:rsidR="00647E6F">
        <w:rPr>
          <w:sz w:val="22"/>
          <w:szCs w:val="22"/>
          <w:lang w:val="pl-PL"/>
        </w:rPr>
        <w:t>o 3</w:t>
      </w:r>
      <w:r>
        <w:rPr>
          <w:sz w:val="22"/>
          <w:szCs w:val="22"/>
          <w:lang w:val="pl-PL"/>
        </w:rPr>
        <w:t>,0</w:t>
      </w:r>
      <w:r w:rsidR="00647E6F">
        <w:rPr>
          <w:sz w:val="22"/>
          <w:szCs w:val="22"/>
          <w:lang w:val="pl-PL"/>
        </w:rPr>
        <w:t xml:space="preserve"> proc.</w:t>
      </w:r>
      <w:r>
        <w:rPr>
          <w:sz w:val="22"/>
          <w:szCs w:val="22"/>
          <w:lang w:val="pl-PL"/>
        </w:rPr>
        <w:t>, natomiast liczba udzielonych kredytów była podobna jak rok wcześniej</w:t>
      </w:r>
      <w:r w:rsidR="00647E6F">
        <w:rPr>
          <w:sz w:val="22"/>
          <w:szCs w:val="22"/>
          <w:lang w:val="pl-PL"/>
        </w:rPr>
        <w:t xml:space="preserve">. W analizowanym okresie banki udzieliły </w:t>
      </w:r>
      <w:r w:rsidR="00647E6F" w:rsidRPr="004D0818">
        <w:rPr>
          <w:b/>
          <w:sz w:val="22"/>
          <w:szCs w:val="22"/>
          <w:lang w:val="pl-PL"/>
        </w:rPr>
        <w:t>196,5 tys. kredy</w:t>
      </w:r>
      <w:r w:rsidR="00E04362" w:rsidRPr="004D0818">
        <w:rPr>
          <w:b/>
          <w:sz w:val="22"/>
          <w:szCs w:val="22"/>
          <w:lang w:val="pl-PL"/>
        </w:rPr>
        <w:t>tów</w:t>
      </w:r>
      <w:r w:rsidR="00E04362">
        <w:rPr>
          <w:sz w:val="22"/>
          <w:szCs w:val="22"/>
          <w:lang w:val="pl-PL"/>
        </w:rPr>
        <w:t xml:space="preserve"> na łączną kwotę </w:t>
      </w:r>
      <w:r w:rsidR="00E04362" w:rsidRPr="004D0818">
        <w:rPr>
          <w:b/>
          <w:sz w:val="22"/>
          <w:szCs w:val="22"/>
          <w:lang w:val="pl-PL"/>
        </w:rPr>
        <w:t>41,8 mld zł</w:t>
      </w:r>
      <w:r w:rsidR="00E04362">
        <w:rPr>
          <w:sz w:val="22"/>
          <w:szCs w:val="22"/>
          <w:lang w:val="pl-PL"/>
        </w:rPr>
        <w:t xml:space="preserve">. Dla porównania w 2014 r. było to 194 tys. kredytów </w:t>
      </w:r>
      <w:r w:rsidR="001463D2">
        <w:rPr>
          <w:sz w:val="22"/>
          <w:szCs w:val="22"/>
          <w:lang w:val="pl-PL"/>
        </w:rPr>
        <w:t>o wartości</w:t>
      </w:r>
      <w:r w:rsidR="00E04362">
        <w:rPr>
          <w:sz w:val="22"/>
          <w:szCs w:val="22"/>
          <w:lang w:val="pl-PL"/>
        </w:rPr>
        <w:t xml:space="preserve"> 40,4 mld zł.</w:t>
      </w:r>
      <w:r w:rsidR="00647E6F">
        <w:rPr>
          <w:sz w:val="22"/>
          <w:szCs w:val="22"/>
          <w:lang w:val="pl-PL"/>
        </w:rPr>
        <w:t xml:space="preserve"> </w:t>
      </w:r>
      <w:r w:rsidR="004D0818">
        <w:rPr>
          <w:sz w:val="22"/>
          <w:szCs w:val="22"/>
          <w:lang w:val="pl-PL"/>
        </w:rPr>
        <w:t>Od trzeciego kwartału</w:t>
      </w:r>
      <w:r w:rsidR="00E04362">
        <w:rPr>
          <w:sz w:val="22"/>
          <w:szCs w:val="22"/>
          <w:lang w:val="pl-PL"/>
        </w:rPr>
        <w:t xml:space="preserve"> </w:t>
      </w:r>
      <w:r w:rsidR="002D4687">
        <w:rPr>
          <w:sz w:val="22"/>
          <w:szCs w:val="22"/>
          <w:lang w:val="pl-PL"/>
        </w:rPr>
        <w:t xml:space="preserve">2015 r. </w:t>
      </w:r>
      <w:r w:rsidR="00E04362">
        <w:rPr>
          <w:sz w:val="22"/>
          <w:szCs w:val="22"/>
          <w:lang w:val="pl-PL"/>
        </w:rPr>
        <w:t>dynamiki udzielanych kredytów</w:t>
      </w:r>
      <w:r w:rsidR="004D0818">
        <w:rPr>
          <w:sz w:val="22"/>
          <w:szCs w:val="22"/>
          <w:lang w:val="pl-PL"/>
        </w:rPr>
        <w:t xml:space="preserve"> w porównaniu do </w:t>
      </w:r>
      <w:r w:rsidR="005E34AE">
        <w:rPr>
          <w:sz w:val="22"/>
          <w:szCs w:val="22"/>
          <w:lang w:val="pl-PL"/>
        </w:rPr>
        <w:t xml:space="preserve">analogicznych kwartałów </w:t>
      </w:r>
      <w:r w:rsidR="004D0818">
        <w:rPr>
          <w:sz w:val="22"/>
          <w:szCs w:val="22"/>
          <w:lang w:val="pl-PL"/>
        </w:rPr>
        <w:t>2014</w:t>
      </w:r>
      <w:r>
        <w:rPr>
          <w:sz w:val="22"/>
          <w:szCs w:val="22"/>
          <w:lang w:val="pl-PL"/>
        </w:rPr>
        <w:t xml:space="preserve"> </w:t>
      </w:r>
      <w:r w:rsidR="004D0818">
        <w:rPr>
          <w:sz w:val="22"/>
          <w:szCs w:val="22"/>
          <w:lang w:val="pl-PL"/>
        </w:rPr>
        <w:t>r</w:t>
      </w:r>
      <w:r>
        <w:rPr>
          <w:sz w:val="22"/>
          <w:szCs w:val="22"/>
          <w:lang w:val="pl-PL"/>
        </w:rPr>
        <w:t>.</w:t>
      </w:r>
      <w:r w:rsidR="00E04362">
        <w:rPr>
          <w:sz w:val="22"/>
          <w:szCs w:val="22"/>
          <w:lang w:val="pl-PL"/>
        </w:rPr>
        <w:t xml:space="preserve"> </w:t>
      </w:r>
      <w:r w:rsidR="002D4687">
        <w:rPr>
          <w:sz w:val="22"/>
          <w:szCs w:val="22"/>
          <w:lang w:val="pl-PL"/>
        </w:rPr>
        <w:t>w ujęciu wartościowym</w:t>
      </w:r>
      <w:r w:rsidR="004D0818">
        <w:rPr>
          <w:sz w:val="22"/>
          <w:szCs w:val="22"/>
          <w:lang w:val="pl-PL"/>
        </w:rPr>
        <w:t xml:space="preserve"> były dodatnie</w:t>
      </w:r>
      <w:r w:rsidR="002D4687">
        <w:rPr>
          <w:sz w:val="22"/>
          <w:szCs w:val="22"/>
          <w:lang w:val="pl-PL"/>
        </w:rPr>
        <w:t xml:space="preserve">, </w:t>
      </w:r>
      <w:r w:rsidR="004D0818">
        <w:rPr>
          <w:sz w:val="22"/>
          <w:szCs w:val="22"/>
          <w:lang w:val="pl-PL"/>
        </w:rPr>
        <w:t>a rekordowym był ostatni kwartał roku zarówno w ujęciu wartościowym jak i liczbowym</w:t>
      </w:r>
      <w:r w:rsidR="00E04362">
        <w:rPr>
          <w:sz w:val="22"/>
          <w:szCs w:val="22"/>
          <w:lang w:val="pl-PL"/>
        </w:rPr>
        <w:t>.</w:t>
      </w:r>
    </w:p>
    <w:p w:rsidR="00A42810" w:rsidRDefault="00A42810" w:rsidP="00A56666">
      <w:pPr>
        <w:pStyle w:val="Zwykytekst"/>
        <w:jc w:val="both"/>
        <w:rPr>
          <w:i/>
          <w:sz w:val="22"/>
          <w:szCs w:val="22"/>
          <w:lang w:val="pl-PL"/>
        </w:rPr>
      </w:pPr>
    </w:p>
    <w:p w:rsidR="00E04362" w:rsidRPr="00A42810" w:rsidRDefault="0023681E" w:rsidP="00A56666">
      <w:pPr>
        <w:pStyle w:val="Zwykytekst"/>
        <w:jc w:val="both"/>
        <w:rPr>
          <w:i/>
          <w:sz w:val="22"/>
          <w:szCs w:val="22"/>
          <w:lang w:val="pl-PL"/>
        </w:rPr>
      </w:pPr>
      <w:r>
        <w:rPr>
          <w:i/>
          <w:sz w:val="22"/>
          <w:szCs w:val="22"/>
          <w:lang w:val="pl-PL"/>
        </w:rPr>
        <w:t xml:space="preserve">- </w:t>
      </w:r>
      <w:r w:rsidR="00E22DD5">
        <w:rPr>
          <w:i/>
          <w:sz w:val="22"/>
          <w:szCs w:val="22"/>
          <w:lang w:val="pl-PL"/>
        </w:rPr>
        <w:t>Od wakacji zaczęliśmy obserwować wzrost zainteresowania klientów kredytami mieszkaniowymi objawiający się wzrostami wartości składanych wniosków kredytowych. Przełożyło się to na bardzo dobry 4 kwartał, w którym wartość udzielonych kredytów wzrosła o 15,4% a liczba o 10,5% względem 4 kw. 2014 r.</w:t>
      </w:r>
      <w:r>
        <w:rPr>
          <w:i/>
          <w:sz w:val="22"/>
          <w:szCs w:val="22"/>
          <w:lang w:val="pl-PL"/>
        </w:rPr>
        <w:t xml:space="preserve"> </w:t>
      </w:r>
      <w:r w:rsidRPr="00B66AAC">
        <w:rPr>
          <w:sz w:val="22"/>
          <w:szCs w:val="22"/>
          <w:lang w:val="pl-PL"/>
        </w:rPr>
        <w:t>– podsumowuje prezes Zarządu BIK.</w:t>
      </w:r>
      <w:r w:rsidR="00E22DD5">
        <w:rPr>
          <w:i/>
          <w:sz w:val="22"/>
          <w:szCs w:val="22"/>
          <w:lang w:val="pl-PL"/>
        </w:rPr>
        <w:t xml:space="preserve"> </w:t>
      </w:r>
      <w:r w:rsidR="00B66AAC">
        <w:rPr>
          <w:i/>
          <w:sz w:val="22"/>
          <w:szCs w:val="22"/>
          <w:lang w:val="pl-PL"/>
        </w:rPr>
        <w:t xml:space="preserve">- </w:t>
      </w:r>
      <w:r w:rsidR="00E22DD5">
        <w:rPr>
          <w:i/>
          <w:sz w:val="22"/>
          <w:szCs w:val="22"/>
          <w:lang w:val="pl-PL"/>
        </w:rPr>
        <w:t>Ożywienie na rynku kredytów mieszkaniowych</w:t>
      </w:r>
      <w:r w:rsidR="00B66AAC">
        <w:rPr>
          <w:i/>
          <w:sz w:val="22"/>
          <w:szCs w:val="22"/>
          <w:lang w:val="pl-PL"/>
        </w:rPr>
        <w:t xml:space="preserve"> </w:t>
      </w:r>
      <w:r w:rsidR="00E22DD5">
        <w:rPr>
          <w:i/>
          <w:sz w:val="22"/>
          <w:szCs w:val="22"/>
          <w:lang w:val="pl-PL"/>
        </w:rPr>
        <w:lastRenderedPageBreak/>
        <w:t xml:space="preserve">pod koniec roku można </w:t>
      </w:r>
      <w:r w:rsidR="002070D0" w:rsidRPr="00A42810">
        <w:rPr>
          <w:i/>
          <w:sz w:val="22"/>
          <w:szCs w:val="22"/>
          <w:lang w:val="pl-PL"/>
        </w:rPr>
        <w:t>wyjaśnić sprzyjającym otoczeniem makroekonomicznym</w:t>
      </w:r>
      <w:r w:rsidR="005459DB">
        <w:rPr>
          <w:i/>
          <w:sz w:val="22"/>
          <w:szCs w:val="22"/>
          <w:lang w:val="pl-PL"/>
        </w:rPr>
        <w:t>,</w:t>
      </w:r>
      <w:r w:rsidR="00B66AAC">
        <w:rPr>
          <w:i/>
          <w:sz w:val="22"/>
          <w:szCs w:val="22"/>
          <w:lang w:val="pl-PL"/>
        </w:rPr>
        <w:t xml:space="preserve"> </w:t>
      </w:r>
      <w:r w:rsidR="00B66AAC">
        <w:rPr>
          <w:i/>
          <w:sz w:val="22"/>
          <w:szCs w:val="22"/>
          <w:lang w:val="pl-PL"/>
        </w:rPr>
        <w:br/>
      </w:r>
      <w:r w:rsidR="005459DB">
        <w:rPr>
          <w:i/>
          <w:sz w:val="22"/>
          <w:szCs w:val="22"/>
          <w:lang w:val="pl-PL"/>
        </w:rPr>
        <w:t>w tym</w:t>
      </w:r>
      <w:r w:rsidR="00B66AAC">
        <w:rPr>
          <w:i/>
          <w:sz w:val="22"/>
          <w:szCs w:val="22"/>
          <w:lang w:val="pl-PL"/>
        </w:rPr>
        <w:t xml:space="preserve"> </w:t>
      </w:r>
      <w:r w:rsidR="005459DB">
        <w:rPr>
          <w:i/>
          <w:sz w:val="22"/>
          <w:szCs w:val="22"/>
          <w:lang w:val="pl-PL"/>
        </w:rPr>
        <w:t xml:space="preserve">utrzymującymi się w długim okresie niskimi stopami procentowymi, oraz impulsami regulacyjnymi: </w:t>
      </w:r>
      <w:r w:rsidR="002070D0" w:rsidRPr="00A42810">
        <w:rPr>
          <w:i/>
          <w:sz w:val="22"/>
          <w:szCs w:val="22"/>
          <w:lang w:val="pl-PL"/>
        </w:rPr>
        <w:t xml:space="preserve">perspektywą podniesienia wkładu własnego do 15% od </w:t>
      </w:r>
      <w:r w:rsidR="005459DB">
        <w:rPr>
          <w:i/>
          <w:sz w:val="22"/>
          <w:szCs w:val="22"/>
          <w:lang w:val="pl-PL"/>
        </w:rPr>
        <w:t>stycznia 2016 r.</w:t>
      </w:r>
      <w:r w:rsidR="002070D0" w:rsidRPr="00A42810">
        <w:rPr>
          <w:i/>
          <w:sz w:val="22"/>
          <w:szCs w:val="22"/>
          <w:lang w:val="pl-PL"/>
        </w:rPr>
        <w:t xml:space="preserve">, </w:t>
      </w:r>
      <w:r w:rsidR="005459DB">
        <w:rPr>
          <w:i/>
          <w:sz w:val="22"/>
          <w:szCs w:val="22"/>
          <w:lang w:val="pl-PL"/>
        </w:rPr>
        <w:t xml:space="preserve">rozszerzeniem i jednocześnie planowanym zakończeniem </w:t>
      </w:r>
      <w:r w:rsidR="00123C02" w:rsidRPr="00A42810">
        <w:rPr>
          <w:i/>
          <w:sz w:val="22"/>
          <w:szCs w:val="22"/>
          <w:lang w:val="pl-PL"/>
        </w:rPr>
        <w:t xml:space="preserve">programu </w:t>
      </w:r>
      <w:r w:rsidR="005459DB">
        <w:rPr>
          <w:i/>
          <w:sz w:val="22"/>
          <w:szCs w:val="22"/>
          <w:lang w:val="pl-PL"/>
        </w:rPr>
        <w:t xml:space="preserve">wsparcia </w:t>
      </w:r>
      <w:proofErr w:type="spellStart"/>
      <w:r w:rsidR="00123C02" w:rsidRPr="00A42810">
        <w:rPr>
          <w:i/>
          <w:sz w:val="22"/>
          <w:szCs w:val="22"/>
          <w:lang w:val="pl-PL"/>
        </w:rPr>
        <w:t>MdM</w:t>
      </w:r>
      <w:proofErr w:type="spellEnd"/>
      <w:r w:rsidR="006D2DB0">
        <w:rPr>
          <w:i/>
          <w:sz w:val="22"/>
          <w:szCs w:val="22"/>
          <w:lang w:val="pl-PL"/>
        </w:rPr>
        <w:t xml:space="preserve"> </w:t>
      </w:r>
      <w:r w:rsidR="00B75876" w:rsidRPr="00B75876">
        <w:rPr>
          <w:sz w:val="22"/>
          <w:szCs w:val="22"/>
          <w:lang w:val="pl-PL"/>
        </w:rPr>
        <w:t xml:space="preserve">– </w:t>
      </w:r>
      <w:r w:rsidR="00B75876">
        <w:rPr>
          <w:sz w:val="22"/>
          <w:szCs w:val="22"/>
          <w:lang w:val="pl-PL"/>
        </w:rPr>
        <w:t>dodaje</w:t>
      </w:r>
      <w:r w:rsidR="00B75876" w:rsidRPr="00B75876">
        <w:rPr>
          <w:sz w:val="22"/>
          <w:szCs w:val="22"/>
          <w:lang w:val="pl-PL"/>
        </w:rPr>
        <w:t xml:space="preserve"> prezes Cholewa</w:t>
      </w:r>
      <w:r w:rsidR="005459DB">
        <w:rPr>
          <w:i/>
          <w:sz w:val="22"/>
          <w:szCs w:val="22"/>
          <w:lang w:val="pl-PL"/>
        </w:rPr>
        <w:t>.</w:t>
      </w:r>
      <w:r w:rsidR="002070D0" w:rsidRPr="00A42810">
        <w:rPr>
          <w:i/>
          <w:sz w:val="22"/>
          <w:szCs w:val="22"/>
          <w:lang w:val="pl-PL"/>
        </w:rPr>
        <w:t xml:space="preserve"> </w:t>
      </w:r>
    </w:p>
    <w:p w:rsidR="00A42810" w:rsidRDefault="00A42810" w:rsidP="00123C02">
      <w:pPr>
        <w:pStyle w:val="Zwykytekst"/>
        <w:jc w:val="both"/>
        <w:rPr>
          <w:sz w:val="22"/>
          <w:szCs w:val="22"/>
          <w:lang w:val="pl-PL"/>
        </w:rPr>
      </w:pPr>
    </w:p>
    <w:p w:rsidR="00123C02" w:rsidRDefault="00713BF7" w:rsidP="00713BF7">
      <w:pPr>
        <w:pStyle w:val="Zwykytekst"/>
        <w:rPr>
          <w:sz w:val="22"/>
          <w:szCs w:val="22"/>
          <w:lang w:val="pl-PL"/>
        </w:rPr>
      </w:pPr>
      <w:r>
        <w:rPr>
          <w:sz w:val="22"/>
          <w:szCs w:val="22"/>
          <w:u w:val="single"/>
          <w:lang w:val="pl-PL"/>
        </w:rPr>
        <w:t>G</w:t>
      </w:r>
      <w:r w:rsidR="00BF0B78" w:rsidRPr="00713BF7">
        <w:rPr>
          <w:sz w:val="22"/>
          <w:szCs w:val="22"/>
          <w:u w:val="single"/>
          <w:lang w:val="pl-PL"/>
        </w:rPr>
        <w:t>łówne trendy na rynku kredytów mieszkaniowych:</w:t>
      </w:r>
      <w:r>
        <w:rPr>
          <w:sz w:val="22"/>
          <w:szCs w:val="22"/>
          <w:u w:val="single"/>
          <w:lang w:val="pl-PL"/>
        </w:rPr>
        <w:br/>
      </w:r>
    </w:p>
    <w:p w:rsidR="00123C02" w:rsidRDefault="00123C02" w:rsidP="00123C02">
      <w:pPr>
        <w:pStyle w:val="Zwykytekst"/>
        <w:jc w:val="both"/>
        <w:rPr>
          <w:sz w:val="22"/>
          <w:szCs w:val="22"/>
          <w:lang w:val="pl-PL"/>
        </w:rPr>
      </w:pPr>
      <w:r>
        <w:rPr>
          <w:sz w:val="22"/>
          <w:szCs w:val="22"/>
          <w:lang w:val="pl-PL"/>
        </w:rPr>
        <w:t xml:space="preserve">Ponad połowa osób zaciągających </w:t>
      </w:r>
      <w:r w:rsidR="00BF0B78">
        <w:rPr>
          <w:sz w:val="22"/>
          <w:szCs w:val="22"/>
          <w:lang w:val="pl-PL"/>
        </w:rPr>
        <w:t xml:space="preserve">w 2015r. </w:t>
      </w:r>
      <w:r>
        <w:rPr>
          <w:sz w:val="22"/>
          <w:szCs w:val="22"/>
          <w:lang w:val="pl-PL"/>
        </w:rPr>
        <w:t xml:space="preserve">kredyty </w:t>
      </w:r>
      <w:r w:rsidR="00BF0B78">
        <w:rPr>
          <w:sz w:val="22"/>
          <w:szCs w:val="22"/>
          <w:lang w:val="pl-PL"/>
        </w:rPr>
        <w:t xml:space="preserve">mieszkaniowe </w:t>
      </w:r>
      <w:r>
        <w:rPr>
          <w:sz w:val="22"/>
          <w:szCs w:val="22"/>
          <w:lang w:val="pl-PL"/>
        </w:rPr>
        <w:t>pochodzi z miast po</w:t>
      </w:r>
      <w:r w:rsidR="0055222F">
        <w:rPr>
          <w:sz w:val="22"/>
          <w:szCs w:val="22"/>
          <w:lang w:val="pl-PL"/>
        </w:rPr>
        <w:t xml:space="preserve">niżej </w:t>
      </w:r>
      <w:r>
        <w:rPr>
          <w:sz w:val="22"/>
          <w:szCs w:val="22"/>
          <w:lang w:val="pl-PL"/>
        </w:rPr>
        <w:t xml:space="preserve">50 tys. mieszkańców. Co piąty kredyt został udzielony mieszkańcowi województwa mazowieckiego. Choć aż 55 proc. kredytów hipotecznych udzielanych jest osobom w wieku poniżej 35 lat, to </w:t>
      </w:r>
      <w:r w:rsidR="00C709B2">
        <w:rPr>
          <w:sz w:val="22"/>
          <w:szCs w:val="22"/>
          <w:lang w:val="pl-PL"/>
        </w:rPr>
        <w:t xml:space="preserve">kredyty na </w:t>
      </w:r>
      <w:r>
        <w:rPr>
          <w:sz w:val="22"/>
          <w:szCs w:val="22"/>
          <w:lang w:val="pl-PL"/>
        </w:rPr>
        <w:t>najwyższ</w:t>
      </w:r>
      <w:r w:rsidR="00C709B2">
        <w:rPr>
          <w:sz w:val="22"/>
          <w:szCs w:val="22"/>
          <w:lang w:val="pl-PL"/>
        </w:rPr>
        <w:t>e</w:t>
      </w:r>
      <w:r>
        <w:rPr>
          <w:sz w:val="22"/>
          <w:szCs w:val="22"/>
          <w:lang w:val="pl-PL"/>
        </w:rPr>
        <w:t xml:space="preserve"> kwot</w:t>
      </w:r>
      <w:r w:rsidR="00C709B2">
        <w:rPr>
          <w:sz w:val="22"/>
          <w:szCs w:val="22"/>
          <w:lang w:val="pl-PL"/>
        </w:rPr>
        <w:t>y</w:t>
      </w:r>
      <w:r>
        <w:rPr>
          <w:sz w:val="22"/>
          <w:szCs w:val="22"/>
          <w:lang w:val="pl-PL"/>
        </w:rPr>
        <w:t xml:space="preserve"> zaciągają osoby w przedziale 35-44 lat.</w:t>
      </w:r>
    </w:p>
    <w:p w:rsidR="00E929BB" w:rsidRDefault="00123C02" w:rsidP="00E929BB">
      <w:pPr>
        <w:pStyle w:val="Zwykytekst"/>
        <w:jc w:val="both"/>
        <w:rPr>
          <w:sz w:val="22"/>
          <w:szCs w:val="22"/>
          <w:lang w:val="pl-PL"/>
        </w:rPr>
      </w:pPr>
      <w:r>
        <w:rPr>
          <w:sz w:val="22"/>
          <w:szCs w:val="22"/>
          <w:lang w:val="pl-PL"/>
        </w:rPr>
        <w:t>D</w:t>
      </w:r>
      <w:r w:rsidRPr="00123C02">
        <w:rPr>
          <w:sz w:val="22"/>
          <w:szCs w:val="22"/>
          <w:lang w:val="pl-PL"/>
        </w:rPr>
        <w:t xml:space="preserve">obry </w:t>
      </w:r>
      <w:r>
        <w:rPr>
          <w:sz w:val="22"/>
          <w:szCs w:val="22"/>
          <w:lang w:val="pl-PL"/>
        </w:rPr>
        <w:t>4</w:t>
      </w:r>
      <w:r w:rsidRPr="00123C02">
        <w:rPr>
          <w:sz w:val="22"/>
          <w:szCs w:val="22"/>
          <w:lang w:val="pl-PL"/>
        </w:rPr>
        <w:t xml:space="preserve"> kw</w:t>
      </w:r>
      <w:r w:rsidR="0071660E">
        <w:rPr>
          <w:sz w:val="22"/>
          <w:szCs w:val="22"/>
          <w:lang w:val="pl-PL"/>
        </w:rPr>
        <w:t xml:space="preserve">artał </w:t>
      </w:r>
      <w:r w:rsidRPr="00123C02">
        <w:rPr>
          <w:sz w:val="22"/>
          <w:szCs w:val="22"/>
          <w:lang w:val="pl-PL"/>
        </w:rPr>
        <w:t>spowodował, że w całym 2015</w:t>
      </w:r>
      <w:r w:rsidR="0071660E">
        <w:rPr>
          <w:sz w:val="22"/>
          <w:szCs w:val="22"/>
          <w:lang w:val="pl-PL"/>
        </w:rPr>
        <w:t xml:space="preserve"> </w:t>
      </w:r>
      <w:r w:rsidRPr="00123C02">
        <w:rPr>
          <w:sz w:val="22"/>
          <w:szCs w:val="22"/>
          <w:lang w:val="pl-PL"/>
        </w:rPr>
        <w:t>r</w:t>
      </w:r>
      <w:r w:rsidR="0071660E">
        <w:rPr>
          <w:sz w:val="22"/>
          <w:szCs w:val="22"/>
          <w:lang w:val="pl-PL"/>
        </w:rPr>
        <w:t>oku</w:t>
      </w:r>
      <w:r w:rsidRPr="00123C02">
        <w:rPr>
          <w:sz w:val="22"/>
          <w:szCs w:val="22"/>
          <w:lang w:val="pl-PL"/>
        </w:rPr>
        <w:t xml:space="preserve"> nastąpiły wzrosty sprzedaży kredytów</w:t>
      </w:r>
      <w:r w:rsidR="00BF0B78">
        <w:rPr>
          <w:sz w:val="22"/>
          <w:szCs w:val="22"/>
          <w:lang w:val="pl-PL"/>
        </w:rPr>
        <w:t xml:space="preserve"> mieszkaniowych</w:t>
      </w:r>
      <w:r w:rsidRPr="00123C02">
        <w:rPr>
          <w:sz w:val="22"/>
          <w:szCs w:val="22"/>
          <w:lang w:val="pl-PL"/>
        </w:rPr>
        <w:t xml:space="preserve">. </w:t>
      </w:r>
    </w:p>
    <w:p w:rsidR="00E929BB" w:rsidRDefault="00E929BB" w:rsidP="00E929BB">
      <w:pPr>
        <w:pStyle w:val="Zwykytekst"/>
        <w:jc w:val="both"/>
        <w:rPr>
          <w:sz w:val="22"/>
          <w:szCs w:val="22"/>
          <w:lang w:val="pl-PL"/>
        </w:rPr>
      </w:pPr>
    </w:p>
    <w:p w:rsidR="00E929BB" w:rsidRDefault="00E929BB" w:rsidP="00E929BB">
      <w:pPr>
        <w:pStyle w:val="Zwykytekst"/>
        <w:jc w:val="both"/>
        <w:rPr>
          <w:sz w:val="22"/>
          <w:szCs w:val="22"/>
        </w:rPr>
      </w:pPr>
      <w:r w:rsidRPr="00F57437">
        <w:rPr>
          <w:sz w:val="22"/>
          <w:szCs w:val="22"/>
        </w:rPr>
        <w:t>Zdaniem REAS na dobre wyniki odnotowane w końcówce roku w dużym stopniu wpłynął nie tylko fakt, że był to ostatni kwartał, w którym można było zaciągnąć kredyt z 10% wkładem własnym bez dodatkowego ubezpieczenia, ale także obawy przed wzrostem marży na kredytach hipotecznych będącym pośrednim skutkiem zapowiadanego przez rząd podatku bankowego. Co więcej, rozszerzenie rządowego programu Mieszkanie dla Młodych na rynek wtórny było stymulujące dla wzrostu zainteresowania kredytowaniem zakupu w tym segmencie. Z kolei brak wyraźnego wzrostu sprzedaży kredytów w całym 2015 roku przy jednoczesnym ponad 20% wzroście liczby transakcji na rynku pierwotnym jest niewątpliwie pochodną utrzymującej się deflacji oraz zapowiedziami dalszej obniżki stóp procentowych. Przy najniższym po 1990 r. oprocentowaniu depozytów, oddalającej się perspektywie powrotu inflacji, a także stabilnych czynszach, relatywna atrakcyjność inwestycji w mieszkania finansowanego ze środków zgromadzonych na lokatach skutkowała w minionym roku wzrostem liczby zakupów gotówkowych.</w:t>
      </w:r>
    </w:p>
    <w:p w:rsidR="009B70FB" w:rsidRPr="00E929BB" w:rsidRDefault="009B70FB" w:rsidP="00123C02">
      <w:pPr>
        <w:pStyle w:val="Zwykytekst"/>
        <w:jc w:val="both"/>
        <w:rPr>
          <w:sz w:val="22"/>
          <w:szCs w:val="22"/>
        </w:rPr>
      </w:pPr>
    </w:p>
    <w:p w:rsidR="00E929BB" w:rsidRPr="00E929BB" w:rsidRDefault="00E929BB" w:rsidP="00E929BB">
      <w:pPr>
        <w:pStyle w:val="Zwykytekst"/>
        <w:jc w:val="both"/>
        <w:rPr>
          <w:rFonts w:cs="Calibri"/>
          <w:i/>
          <w:sz w:val="22"/>
          <w:szCs w:val="22"/>
          <w:lang w:val="pl-PL"/>
        </w:rPr>
      </w:pPr>
      <w:r>
        <w:rPr>
          <w:rFonts w:cs="Calibri"/>
          <w:sz w:val="22"/>
          <w:szCs w:val="22"/>
          <w:lang w:val="pl-PL"/>
        </w:rPr>
        <w:t>P</w:t>
      </w:r>
      <w:r w:rsidRPr="00E929BB">
        <w:rPr>
          <w:rFonts w:cs="Calibri"/>
          <w:sz w:val="22"/>
          <w:szCs w:val="22"/>
          <w:lang w:val="pl-PL"/>
        </w:rPr>
        <w:t>rezes Zarządu REAS</w:t>
      </w:r>
      <w:r>
        <w:rPr>
          <w:rFonts w:cs="Calibri"/>
          <w:sz w:val="22"/>
          <w:szCs w:val="22"/>
          <w:lang w:val="pl-PL"/>
        </w:rPr>
        <w:t>, pan</w:t>
      </w:r>
      <w:r w:rsidRPr="00E929BB">
        <w:rPr>
          <w:rFonts w:cs="Calibri"/>
          <w:sz w:val="22"/>
          <w:szCs w:val="22"/>
          <w:lang w:val="pl-PL"/>
        </w:rPr>
        <w:t xml:space="preserve"> Kazimierz Kirejczyk</w:t>
      </w:r>
      <w:r>
        <w:rPr>
          <w:rFonts w:cs="Calibri"/>
          <w:sz w:val="22"/>
          <w:szCs w:val="22"/>
          <w:lang w:val="pl-PL"/>
        </w:rPr>
        <w:t xml:space="preserve"> podsumowuje, że jednym </w:t>
      </w:r>
      <w:r w:rsidRPr="00E929BB">
        <w:rPr>
          <w:rFonts w:cs="Calibri"/>
          <w:sz w:val="22"/>
          <w:szCs w:val="22"/>
        </w:rPr>
        <w:t>z najważniejszych bodźców stymulujących sprzedaż</w:t>
      </w:r>
      <w:r w:rsidRPr="00E929BB">
        <w:rPr>
          <w:rFonts w:cs="Calibri"/>
          <w:sz w:val="22"/>
          <w:szCs w:val="22"/>
          <w:lang w:val="pl-PL"/>
        </w:rPr>
        <w:t>,</w:t>
      </w:r>
      <w:r w:rsidRPr="00E929BB">
        <w:rPr>
          <w:rFonts w:cs="Calibri"/>
          <w:sz w:val="22"/>
          <w:szCs w:val="22"/>
        </w:rPr>
        <w:t xml:space="preserve"> ale też akcję kredytową na rynku pierwotnym był w minionym roku program </w:t>
      </w:r>
      <w:proofErr w:type="spellStart"/>
      <w:r w:rsidRPr="00E929BB">
        <w:rPr>
          <w:rFonts w:cs="Calibri"/>
          <w:sz w:val="22"/>
          <w:szCs w:val="22"/>
        </w:rPr>
        <w:t>MdM</w:t>
      </w:r>
      <w:proofErr w:type="spellEnd"/>
      <w:r>
        <w:rPr>
          <w:rFonts w:cs="Calibri"/>
          <w:sz w:val="22"/>
          <w:szCs w:val="22"/>
          <w:lang w:val="pl-PL"/>
        </w:rPr>
        <w:t xml:space="preserve">. </w:t>
      </w:r>
      <w:r>
        <w:rPr>
          <w:rFonts w:cs="Calibri"/>
          <w:i/>
          <w:sz w:val="22"/>
          <w:szCs w:val="22"/>
          <w:lang w:val="pl-PL"/>
        </w:rPr>
        <w:t xml:space="preserve">- </w:t>
      </w:r>
      <w:r w:rsidRPr="00E929BB">
        <w:rPr>
          <w:rFonts w:cs="Calibri"/>
          <w:i/>
          <w:sz w:val="22"/>
          <w:szCs w:val="22"/>
        </w:rPr>
        <w:t>Wizja zakończenia – zgodnie z pierwotnym planem - programu dopłat w 2018 roku będzie działać w najbliższych miesiącach mobilizująco zarówno n</w:t>
      </w:r>
      <w:r>
        <w:rPr>
          <w:rFonts w:cs="Calibri"/>
          <w:i/>
          <w:sz w:val="22"/>
          <w:szCs w:val="22"/>
        </w:rPr>
        <w:t>a deweloperów, skutkując większ</w:t>
      </w:r>
      <w:r>
        <w:rPr>
          <w:rFonts w:cs="Calibri"/>
          <w:i/>
          <w:sz w:val="22"/>
          <w:szCs w:val="22"/>
          <w:lang w:val="pl-PL"/>
        </w:rPr>
        <w:t>ą</w:t>
      </w:r>
      <w:r w:rsidRPr="00E929BB">
        <w:rPr>
          <w:rFonts w:cs="Calibri"/>
          <w:i/>
          <w:sz w:val="22"/>
          <w:szCs w:val="22"/>
        </w:rPr>
        <w:t xml:space="preserve"> podażą w segmencie tańszych mieszkań, jak i na nabywców, chcących skorzystać z rządowego dofinansowania. Choć szereg przesłanek wskazuje na to, że w tym roku będzie trudno wyrównać rekordową sprzedaż z 2015 roku, nie widać powodów makroekonomicznych do wieszczenia silnego spadku popytu. Oferta jest stosunkowo świeża, a to zapewnia nabywcom wybór spośród mieszkań dostosowanych do ich oczekiwań. Dzięki racjonalnej polityce deweloperów ceny utrzymują się na stabilnym poziomie. Jeśli nie nastąpi drastyczny wzrost czynników niepewności, które działać będą hamująco na decyzje zakupowe nabywców, dojrzałość polskiego rynku nieruchomości pozwoli mu oprzeć się zagrożeniom – mimo nieuchronności zjawisk</w:t>
      </w:r>
      <w:r>
        <w:rPr>
          <w:rFonts w:cs="Calibri"/>
          <w:i/>
          <w:sz w:val="22"/>
          <w:szCs w:val="22"/>
        </w:rPr>
        <w:t>a cyklicznych zmian rynkowyc</w:t>
      </w:r>
      <w:r>
        <w:rPr>
          <w:rFonts w:cs="Calibri"/>
          <w:i/>
          <w:sz w:val="22"/>
          <w:szCs w:val="22"/>
          <w:lang w:val="pl-PL"/>
        </w:rPr>
        <w:t xml:space="preserve">h </w:t>
      </w:r>
      <w:r w:rsidRPr="00E929BB">
        <w:rPr>
          <w:rFonts w:cs="Calibri"/>
          <w:sz w:val="22"/>
          <w:szCs w:val="22"/>
          <w:lang w:val="pl-PL"/>
        </w:rPr>
        <w:t>– dodaje prezes Kirejczyk.</w:t>
      </w:r>
      <w:r>
        <w:rPr>
          <w:rFonts w:cs="Calibri"/>
          <w:i/>
          <w:sz w:val="22"/>
          <w:szCs w:val="22"/>
          <w:lang w:val="pl-PL"/>
        </w:rPr>
        <w:t xml:space="preserve"> </w:t>
      </w:r>
    </w:p>
    <w:p w:rsidR="00E04362" w:rsidRPr="00E929BB" w:rsidRDefault="00E04362" w:rsidP="00A56666">
      <w:pPr>
        <w:pStyle w:val="Zwykytekst"/>
        <w:jc w:val="both"/>
        <w:rPr>
          <w:sz w:val="22"/>
          <w:szCs w:val="22"/>
        </w:rPr>
      </w:pPr>
    </w:p>
    <w:p w:rsidR="00A42810" w:rsidRDefault="00E929BB" w:rsidP="00A42810">
      <w:pPr>
        <w:pStyle w:val="Zwykytekst"/>
        <w:jc w:val="both"/>
        <w:rPr>
          <w:sz w:val="22"/>
          <w:szCs w:val="22"/>
          <w:lang w:val="pl-PL"/>
        </w:rPr>
      </w:pPr>
      <w:r>
        <w:rPr>
          <w:sz w:val="22"/>
          <w:szCs w:val="22"/>
          <w:lang w:val="pl-PL"/>
        </w:rPr>
        <w:t xml:space="preserve">Dobrym prognostykiem jest </w:t>
      </w:r>
      <w:r w:rsidR="00A42810">
        <w:rPr>
          <w:sz w:val="22"/>
          <w:szCs w:val="22"/>
          <w:lang w:val="pl-PL"/>
        </w:rPr>
        <w:t>stabilna jakość kredytów mieszkaniowych</w:t>
      </w:r>
      <w:r>
        <w:rPr>
          <w:sz w:val="22"/>
          <w:szCs w:val="22"/>
          <w:lang w:val="pl-PL"/>
        </w:rPr>
        <w:t xml:space="preserve"> - l</w:t>
      </w:r>
      <w:r w:rsidR="00A42810">
        <w:rPr>
          <w:sz w:val="22"/>
          <w:szCs w:val="22"/>
          <w:lang w:val="pl-PL"/>
        </w:rPr>
        <w:t>iczba kredytów opóźnion</w:t>
      </w:r>
      <w:r>
        <w:rPr>
          <w:sz w:val="22"/>
          <w:szCs w:val="22"/>
          <w:lang w:val="pl-PL"/>
        </w:rPr>
        <w:t xml:space="preserve">ych w spłacie powyżej 90 dni wynosi </w:t>
      </w:r>
      <w:r w:rsidR="00A42810">
        <w:rPr>
          <w:sz w:val="22"/>
          <w:szCs w:val="22"/>
          <w:lang w:val="pl-PL"/>
        </w:rPr>
        <w:t>zaledwie 1,</w:t>
      </w:r>
      <w:r w:rsidR="005C3577">
        <w:rPr>
          <w:sz w:val="22"/>
          <w:szCs w:val="22"/>
          <w:lang w:val="pl-PL"/>
        </w:rPr>
        <w:t>4</w:t>
      </w:r>
      <w:r w:rsidR="00A42810">
        <w:rPr>
          <w:sz w:val="22"/>
          <w:szCs w:val="22"/>
          <w:lang w:val="pl-PL"/>
        </w:rPr>
        <w:t xml:space="preserve"> procent. </w:t>
      </w:r>
    </w:p>
    <w:p w:rsidR="00A42810" w:rsidRDefault="00A42810" w:rsidP="00A42810">
      <w:pPr>
        <w:pStyle w:val="Zwykytekst"/>
        <w:jc w:val="both"/>
        <w:rPr>
          <w:sz w:val="22"/>
          <w:szCs w:val="22"/>
          <w:lang w:val="pl-PL"/>
        </w:rPr>
      </w:pPr>
    </w:p>
    <w:p w:rsidR="00BF0B78" w:rsidRPr="00B75876" w:rsidRDefault="00CC325F" w:rsidP="00A42810">
      <w:pPr>
        <w:pStyle w:val="Zwykytekst"/>
        <w:jc w:val="both"/>
        <w:rPr>
          <w:sz w:val="22"/>
          <w:szCs w:val="22"/>
          <w:lang w:val="pl-PL"/>
        </w:rPr>
      </w:pPr>
      <w:r>
        <w:rPr>
          <w:sz w:val="22"/>
          <w:szCs w:val="22"/>
          <w:lang w:val="pl-PL"/>
        </w:rPr>
        <w:t>Podsumowując, p</w:t>
      </w:r>
      <w:r w:rsidRPr="00B75876">
        <w:rPr>
          <w:sz w:val="22"/>
          <w:szCs w:val="22"/>
          <w:lang w:val="pl-PL"/>
        </w:rPr>
        <w:t>erspektyw</w:t>
      </w:r>
      <w:r>
        <w:rPr>
          <w:sz w:val="22"/>
          <w:szCs w:val="22"/>
          <w:lang w:val="pl-PL"/>
        </w:rPr>
        <w:t>a</w:t>
      </w:r>
      <w:r w:rsidRPr="00B75876">
        <w:rPr>
          <w:sz w:val="22"/>
          <w:szCs w:val="22"/>
          <w:lang w:val="pl-PL"/>
        </w:rPr>
        <w:t xml:space="preserve"> rynku kredytowego w Polsce na rok 2016 </w:t>
      </w:r>
      <w:r>
        <w:rPr>
          <w:sz w:val="22"/>
          <w:szCs w:val="22"/>
          <w:lang w:val="pl-PL"/>
        </w:rPr>
        <w:t>w</w:t>
      </w:r>
      <w:r w:rsidR="00B75876" w:rsidRPr="00B75876">
        <w:rPr>
          <w:sz w:val="22"/>
          <w:szCs w:val="22"/>
          <w:lang w:val="pl-PL"/>
        </w:rPr>
        <w:t>edług Biura Informacji Kredytowej</w:t>
      </w:r>
      <w:r>
        <w:rPr>
          <w:sz w:val="22"/>
          <w:szCs w:val="22"/>
          <w:lang w:val="pl-PL"/>
        </w:rPr>
        <w:t xml:space="preserve"> </w:t>
      </w:r>
      <w:r w:rsidR="005C3577">
        <w:rPr>
          <w:sz w:val="22"/>
          <w:szCs w:val="22"/>
          <w:lang w:val="pl-PL"/>
        </w:rPr>
        <w:t>przedstawia się następująco:</w:t>
      </w:r>
      <w:r w:rsidR="00E929BB">
        <w:rPr>
          <w:sz w:val="22"/>
          <w:szCs w:val="22"/>
          <w:lang w:val="pl-PL"/>
        </w:rPr>
        <w:t xml:space="preserve"> </w:t>
      </w:r>
      <w:r w:rsidRPr="00B75876">
        <w:rPr>
          <w:sz w:val="22"/>
          <w:szCs w:val="22"/>
          <w:lang w:val="pl-PL"/>
        </w:rPr>
        <w:t>stabiliza</w:t>
      </w:r>
      <w:r w:rsidR="005C3577">
        <w:rPr>
          <w:sz w:val="22"/>
          <w:szCs w:val="22"/>
          <w:lang w:val="pl-PL"/>
        </w:rPr>
        <w:t>cja</w:t>
      </w:r>
      <w:r>
        <w:rPr>
          <w:sz w:val="22"/>
          <w:szCs w:val="22"/>
          <w:lang w:val="pl-PL"/>
        </w:rPr>
        <w:t xml:space="preserve"> </w:t>
      </w:r>
      <w:r w:rsidRPr="00B75876">
        <w:rPr>
          <w:sz w:val="22"/>
          <w:szCs w:val="22"/>
          <w:lang w:val="pl-PL"/>
        </w:rPr>
        <w:t>wartości udzielanych kredytów</w:t>
      </w:r>
      <w:r>
        <w:rPr>
          <w:sz w:val="22"/>
          <w:szCs w:val="22"/>
          <w:lang w:val="pl-PL"/>
        </w:rPr>
        <w:t xml:space="preserve"> </w:t>
      </w:r>
      <w:r w:rsidR="00B75876">
        <w:rPr>
          <w:sz w:val="22"/>
          <w:szCs w:val="22"/>
          <w:lang w:val="pl-PL"/>
        </w:rPr>
        <w:t xml:space="preserve">konsumpcyjnych, </w:t>
      </w:r>
      <w:r w:rsidR="005C3577">
        <w:rPr>
          <w:sz w:val="22"/>
          <w:szCs w:val="22"/>
          <w:lang w:val="pl-PL"/>
        </w:rPr>
        <w:t>oraz kontynuacja</w:t>
      </w:r>
      <w:r w:rsidR="005C3577" w:rsidRPr="00B75876">
        <w:rPr>
          <w:sz w:val="22"/>
          <w:szCs w:val="22"/>
          <w:lang w:val="pl-PL"/>
        </w:rPr>
        <w:t xml:space="preserve"> </w:t>
      </w:r>
      <w:r w:rsidR="005C3577">
        <w:rPr>
          <w:sz w:val="22"/>
          <w:szCs w:val="22"/>
          <w:lang w:val="pl-PL"/>
        </w:rPr>
        <w:t>umiarkowanego</w:t>
      </w:r>
      <w:r w:rsidR="005C3577" w:rsidRPr="00B75876">
        <w:rPr>
          <w:sz w:val="22"/>
          <w:szCs w:val="22"/>
          <w:lang w:val="pl-PL"/>
        </w:rPr>
        <w:t xml:space="preserve"> wzrost</w:t>
      </w:r>
      <w:r w:rsidR="005C3577">
        <w:rPr>
          <w:sz w:val="22"/>
          <w:szCs w:val="22"/>
          <w:lang w:val="pl-PL"/>
        </w:rPr>
        <w:t>u</w:t>
      </w:r>
      <w:r w:rsidR="005C3577" w:rsidRPr="00B75876">
        <w:rPr>
          <w:sz w:val="22"/>
          <w:szCs w:val="22"/>
          <w:lang w:val="pl-PL"/>
        </w:rPr>
        <w:t xml:space="preserve"> wartości udzielanych</w:t>
      </w:r>
      <w:r w:rsidR="005C3577">
        <w:rPr>
          <w:sz w:val="22"/>
          <w:szCs w:val="22"/>
          <w:lang w:val="pl-PL"/>
        </w:rPr>
        <w:t xml:space="preserve"> kredytów </w:t>
      </w:r>
      <w:r w:rsidR="00B75876">
        <w:rPr>
          <w:sz w:val="22"/>
          <w:szCs w:val="22"/>
          <w:lang w:val="pl-PL"/>
        </w:rPr>
        <w:t>mieszkaniowych</w:t>
      </w:r>
      <w:r w:rsidR="005C3577">
        <w:rPr>
          <w:sz w:val="22"/>
          <w:szCs w:val="22"/>
          <w:lang w:val="pl-PL"/>
        </w:rPr>
        <w:t xml:space="preserve">. </w:t>
      </w:r>
    </w:p>
    <w:p w:rsidR="001463D2" w:rsidRDefault="001463D2" w:rsidP="00A56666">
      <w:pPr>
        <w:pStyle w:val="Zwykytekst"/>
        <w:jc w:val="both"/>
        <w:rPr>
          <w:b/>
          <w:lang w:val="pl-PL"/>
        </w:rPr>
      </w:pPr>
    </w:p>
    <w:p w:rsidR="00A56666" w:rsidRDefault="00A56666" w:rsidP="00A56666">
      <w:pPr>
        <w:pStyle w:val="Zwykytekst"/>
        <w:jc w:val="both"/>
        <w:rPr>
          <w:b/>
          <w:lang w:val="pl-PL"/>
        </w:rPr>
      </w:pPr>
    </w:p>
    <w:p w:rsidR="00A56666" w:rsidRPr="0078765C" w:rsidRDefault="00A56666" w:rsidP="00A56666">
      <w:pPr>
        <w:jc w:val="both"/>
        <w:rPr>
          <w:sz w:val="24"/>
          <w:szCs w:val="24"/>
        </w:rPr>
      </w:pPr>
      <w:r>
        <w:rPr>
          <w:b/>
          <w:bCs/>
          <w:sz w:val="18"/>
          <w:szCs w:val="18"/>
          <w:u w:val="single"/>
        </w:rPr>
        <w:t>O</w:t>
      </w:r>
      <w:r w:rsidRPr="007C0D89">
        <w:rPr>
          <w:b/>
          <w:bCs/>
          <w:sz w:val="18"/>
          <w:szCs w:val="18"/>
          <w:u w:val="single"/>
        </w:rPr>
        <w:t xml:space="preserve"> BIK:</w:t>
      </w:r>
    </w:p>
    <w:p w:rsidR="00A56666" w:rsidRPr="00790B83" w:rsidRDefault="00A56666" w:rsidP="00A56666">
      <w:pPr>
        <w:jc w:val="both"/>
        <w:rPr>
          <w:sz w:val="18"/>
          <w:szCs w:val="18"/>
        </w:rPr>
      </w:pPr>
      <w:r w:rsidRPr="00354A4F">
        <w:rPr>
          <w:b/>
          <w:bCs/>
          <w:sz w:val="18"/>
          <w:szCs w:val="18"/>
        </w:rPr>
        <w:t>Biuro Informacji Kredytowej S.A</w:t>
      </w:r>
      <w:r w:rsidRPr="00354A4F">
        <w:rPr>
          <w:sz w:val="18"/>
          <w:szCs w:val="18"/>
        </w:rPr>
        <w:t xml:space="preserve">. gromadzi i udostępnia dane o historii kredytowej klientów banków i SKOK-ów, tj. z </w:t>
      </w:r>
      <w:r>
        <w:rPr>
          <w:sz w:val="18"/>
          <w:szCs w:val="18"/>
        </w:rPr>
        <w:t xml:space="preserve"> całego</w:t>
      </w:r>
      <w:r w:rsidRPr="00354A4F">
        <w:rPr>
          <w:sz w:val="18"/>
          <w:szCs w:val="18"/>
        </w:rPr>
        <w:t xml:space="preserve"> rynku kredytowego w Polsce. BIK jako największy w kraju zbiór danych o klientach indywidualnych</w:t>
      </w:r>
      <w:r>
        <w:rPr>
          <w:sz w:val="18"/>
          <w:szCs w:val="18"/>
        </w:rPr>
        <w:t xml:space="preserve"> </w:t>
      </w:r>
      <w:r w:rsidRPr="00354A4F">
        <w:rPr>
          <w:sz w:val="18"/>
          <w:szCs w:val="18"/>
        </w:rPr>
        <w:t xml:space="preserve">i przedsiębiorcach, </w:t>
      </w:r>
      <w:r w:rsidRPr="00FF2799">
        <w:rPr>
          <w:sz w:val="18"/>
          <w:szCs w:val="18"/>
        </w:rPr>
        <w:t xml:space="preserve">posiada w swojej bazie informacje o </w:t>
      </w:r>
      <w:r>
        <w:rPr>
          <w:sz w:val="18"/>
          <w:szCs w:val="18"/>
        </w:rPr>
        <w:t xml:space="preserve">prawie </w:t>
      </w:r>
      <w:r w:rsidRPr="00FF2799">
        <w:rPr>
          <w:sz w:val="18"/>
          <w:szCs w:val="18"/>
        </w:rPr>
        <w:t>130 mln. rachunków należących do 23 mln. klientów indywidualnych.</w:t>
      </w:r>
      <w:r w:rsidRPr="00354A4F">
        <w:rPr>
          <w:sz w:val="18"/>
          <w:szCs w:val="18"/>
        </w:rPr>
        <w:t xml:space="preserve"> Poprzez realizowanie wymiany informacji kredytowej, BIK wspiera bezpieczeństwo sektora finansowego</w:t>
      </w:r>
      <w:r>
        <w:rPr>
          <w:sz w:val="18"/>
          <w:szCs w:val="18"/>
        </w:rPr>
        <w:t xml:space="preserve"> </w:t>
      </w:r>
      <w:r w:rsidRPr="00354A4F">
        <w:rPr>
          <w:sz w:val="18"/>
          <w:szCs w:val="18"/>
        </w:rPr>
        <w:t xml:space="preserve">i jego klientów. Aż 90 proc. informacji o polskich kredytobiorcach zgromadzonych w Biurze Informacji Kredytowej to dane pozytywne. BIK umożliwia klientom indywidualnym monitorowanie historii kredytowej poprzez internetowy portal </w:t>
      </w:r>
      <w:hyperlink r:id="rId8" w:history="1">
        <w:r w:rsidRPr="00354A4F">
          <w:rPr>
            <w:rStyle w:val="Hipercze"/>
            <w:sz w:val="18"/>
            <w:szCs w:val="18"/>
          </w:rPr>
          <w:t>www.bik.pl</w:t>
        </w:r>
      </w:hyperlink>
      <w:r>
        <w:rPr>
          <w:sz w:val="18"/>
          <w:szCs w:val="18"/>
        </w:rPr>
        <w:t xml:space="preserve"> a d</w:t>
      </w:r>
      <w:r w:rsidRPr="0046593D">
        <w:rPr>
          <w:sz w:val="18"/>
          <w:szCs w:val="18"/>
        </w:rPr>
        <w:t>zięki alertom BIK</w:t>
      </w:r>
      <w:r>
        <w:rPr>
          <w:sz w:val="18"/>
          <w:szCs w:val="18"/>
        </w:rPr>
        <w:t xml:space="preserve"> pomaga </w:t>
      </w:r>
      <w:r w:rsidRPr="0046593D">
        <w:rPr>
          <w:sz w:val="18"/>
          <w:szCs w:val="18"/>
        </w:rPr>
        <w:t>chroni</w:t>
      </w:r>
      <w:r>
        <w:rPr>
          <w:sz w:val="18"/>
          <w:szCs w:val="18"/>
        </w:rPr>
        <w:t>ć się</w:t>
      </w:r>
      <w:r w:rsidRPr="0046593D">
        <w:rPr>
          <w:sz w:val="18"/>
          <w:szCs w:val="18"/>
        </w:rPr>
        <w:t xml:space="preserve"> przed wyłudzeniem kredytu lub opóźnieniem w spłacie.</w:t>
      </w:r>
      <w:r>
        <w:rPr>
          <w:sz w:val="18"/>
          <w:szCs w:val="18"/>
        </w:rPr>
        <w:t xml:space="preserve"> </w:t>
      </w:r>
      <w:r w:rsidRPr="00354A4F">
        <w:rPr>
          <w:sz w:val="18"/>
          <w:szCs w:val="18"/>
        </w:rPr>
        <w:t xml:space="preserve">Biuro wykorzystuje najwyższe standardy gromadzenia i przetwarzania danych oraz działa na podstawie restrykcyjnych przepisów – </w:t>
      </w:r>
      <w:r w:rsidRPr="00354A4F">
        <w:rPr>
          <w:i/>
          <w:iCs/>
          <w:sz w:val="18"/>
          <w:szCs w:val="18"/>
        </w:rPr>
        <w:t>Ustawy Prawo bankowe</w:t>
      </w:r>
      <w:r w:rsidRPr="00354A4F">
        <w:rPr>
          <w:sz w:val="18"/>
          <w:szCs w:val="18"/>
        </w:rPr>
        <w:t xml:space="preserve"> oraz </w:t>
      </w:r>
      <w:r w:rsidRPr="00354A4F">
        <w:rPr>
          <w:i/>
          <w:iCs/>
          <w:sz w:val="18"/>
          <w:szCs w:val="18"/>
        </w:rPr>
        <w:t>Ustawy o ochronie danych osobowych</w:t>
      </w:r>
      <w:r>
        <w:rPr>
          <w:sz w:val="18"/>
          <w:szCs w:val="18"/>
        </w:rPr>
        <w:t xml:space="preserve">. </w:t>
      </w:r>
    </w:p>
    <w:p w:rsidR="00A56666" w:rsidRPr="007C0D89" w:rsidRDefault="00A56666" w:rsidP="00A56666">
      <w:pPr>
        <w:spacing w:after="0"/>
        <w:jc w:val="both"/>
        <w:rPr>
          <w:b/>
          <w:bCs/>
          <w:sz w:val="18"/>
          <w:szCs w:val="18"/>
        </w:rPr>
      </w:pPr>
      <w:r w:rsidRPr="007C0D89">
        <w:rPr>
          <w:b/>
          <w:bCs/>
          <w:sz w:val="18"/>
          <w:szCs w:val="18"/>
        </w:rPr>
        <w:t xml:space="preserve">Kontakt dla </w:t>
      </w:r>
      <w:r w:rsidR="00D11C45">
        <w:rPr>
          <w:b/>
          <w:bCs/>
          <w:sz w:val="18"/>
          <w:szCs w:val="18"/>
        </w:rPr>
        <w:t>mediów</w:t>
      </w:r>
      <w:r w:rsidRPr="007C0D89">
        <w:rPr>
          <w:b/>
          <w:bCs/>
          <w:sz w:val="18"/>
          <w:szCs w:val="18"/>
        </w:rPr>
        <w:t>:</w:t>
      </w:r>
    </w:p>
    <w:p w:rsidR="00A56666" w:rsidRPr="007C0D89" w:rsidRDefault="00A56666" w:rsidP="00A56666">
      <w:pPr>
        <w:spacing w:after="0"/>
        <w:jc w:val="both"/>
        <w:rPr>
          <w:b/>
          <w:bCs/>
          <w:sz w:val="18"/>
          <w:szCs w:val="18"/>
        </w:rPr>
      </w:pPr>
    </w:p>
    <w:tbl>
      <w:tblPr>
        <w:tblW w:w="0" w:type="auto"/>
        <w:tblLook w:val="00A0" w:firstRow="1" w:lastRow="0" w:firstColumn="1" w:lastColumn="0" w:noHBand="0" w:noVBand="0"/>
      </w:tblPr>
      <w:tblGrid>
        <w:gridCol w:w="4606"/>
        <w:gridCol w:w="4606"/>
      </w:tblGrid>
      <w:tr w:rsidR="00A56666" w:rsidRPr="00765CB9" w:rsidTr="00674A1B">
        <w:tc>
          <w:tcPr>
            <w:tcW w:w="4606" w:type="dxa"/>
          </w:tcPr>
          <w:p w:rsidR="00A56666" w:rsidRPr="00765CB9" w:rsidRDefault="00A56666" w:rsidP="00674A1B">
            <w:pPr>
              <w:spacing w:after="0"/>
              <w:jc w:val="both"/>
              <w:rPr>
                <w:sz w:val="18"/>
                <w:szCs w:val="18"/>
              </w:rPr>
            </w:pPr>
            <w:r w:rsidRPr="00765CB9">
              <w:rPr>
                <w:sz w:val="18"/>
                <w:szCs w:val="18"/>
              </w:rPr>
              <w:t>Alina Stahl</w:t>
            </w:r>
          </w:p>
          <w:p w:rsidR="00A56666" w:rsidRPr="00765CB9" w:rsidRDefault="00A56666" w:rsidP="00674A1B">
            <w:pPr>
              <w:spacing w:after="0"/>
              <w:jc w:val="both"/>
              <w:rPr>
                <w:sz w:val="18"/>
                <w:szCs w:val="18"/>
              </w:rPr>
            </w:pPr>
            <w:r w:rsidRPr="00765CB9">
              <w:rPr>
                <w:sz w:val="18"/>
                <w:szCs w:val="18"/>
              </w:rPr>
              <w:t>Dyrektor Biura PR i Komunikacji</w:t>
            </w:r>
          </w:p>
          <w:p w:rsidR="00A56666" w:rsidRPr="00765CB9" w:rsidRDefault="00A56666" w:rsidP="00674A1B">
            <w:pPr>
              <w:spacing w:after="0"/>
              <w:jc w:val="both"/>
              <w:rPr>
                <w:sz w:val="18"/>
                <w:szCs w:val="18"/>
                <w:lang w:val="sv-SE"/>
              </w:rPr>
            </w:pPr>
            <w:r w:rsidRPr="00765CB9">
              <w:rPr>
                <w:sz w:val="18"/>
                <w:szCs w:val="18"/>
                <w:lang w:val="sv-SE"/>
              </w:rPr>
              <w:t>tel.: +48 22 348 4180</w:t>
            </w:r>
          </w:p>
          <w:p w:rsidR="00A56666" w:rsidRPr="00765CB9" w:rsidRDefault="00A56666" w:rsidP="00674A1B">
            <w:pPr>
              <w:spacing w:after="0"/>
              <w:jc w:val="both"/>
              <w:rPr>
                <w:sz w:val="18"/>
                <w:szCs w:val="18"/>
                <w:lang w:val="sv-SE"/>
              </w:rPr>
            </w:pPr>
            <w:r w:rsidRPr="00765CB9">
              <w:rPr>
                <w:sz w:val="18"/>
                <w:szCs w:val="18"/>
                <w:lang w:val="sv-SE"/>
              </w:rPr>
              <w:t>kom.: + 48 512 164 476</w:t>
            </w:r>
          </w:p>
          <w:p w:rsidR="00A56666" w:rsidRPr="00765CB9" w:rsidRDefault="003E14FB" w:rsidP="00674A1B">
            <w:pPr>
              <w:spacing w:after="0"/>
              <w:jc w:val="both"/>
              <w:rPr>
                <w:sz w:val="18"/>
                <w:szCs w:val="18"/>
                <w:lang w:val="sv-SE"/>
              </w:rPr>
            </w:pPr>
            <w:hyperlink r:id="rId9" w:history="1">
              <w:r w:rsidR="00A56666" w:rsidRPr="00765CB9">
                <w:rPr>
                  <w:rStyle w:val="Hipercze"/>
                  <w:sz w:val="18"/>
                  <w:szCs w:val="18"/>
                  <w:lang w:val="sv-SE"/>
                </w:rPr>
                <w:t>kontaktmedia@bik.pl</w:t>
              </w:r>
            </w:hyperlink>
            <w:r w:rsidR="00A56666" w:rsidRPr="00765CB9">
              <w:rPr>
                <w:sz w:val="18"/>
                <w:szCs w:val="18"/>
                <w:lang w:val="sv-SE"/>
              </w:rPr>
              <w:t xml:space="preserve"> </w:t>
            </w:r>
          </w:p>
        </w:tc>
        <w:tc>
          <w:tcPr>
            <w:tcW w:w="4606" w:type="dxa"/>
          </w:tcPr>
          <w:p w:rsidR="00A56666" w:rsidRPr="00765CB9" w:rsidRDefault="00A56666" w:rsidP="00674A1B">
            <w:pPr>
              <w:spacing w:after="0"/>
              <w:jc w:val="both"/>
              <w:rPr>
                <w:sz w:val="18"/>
                <w:szCs w:val="18"/>
              </w:rPr>
            </w:pPr>
            <w:r w:rsidRPr="00765CB9">
              <w:rPr>
                <w:sz w:val="18"/>
                <w:szCs w:val="18"/>
              </w:rPr>
              <w:t>Aleksandra Stankiewicz-Billewicz</w:t>
            </w:r>
          </w:p>
          <w:p w:rsidR="00A56666" w:rsidRPr="00765CB9" w:rsidRDefault="00A56666" w:rsidP="00674A1B">
            <w:pPr>
              <w:spacing w:after="0"/>
              <w:jc w:val="both"/>
              <w:rPr>
                <w:sz w:val="18"/>
                <w:szCs w:val="18"/>
              </w:rPr>
            </w:pPr>
            <w:r w:rsidRPr="00765CB9">
              <w:rPr>
                <w:sz w:val="18"/>
                <w:szCs w:val="18"/>
              </w:rPr>
              <w:t>Biuro PR i Komunikacji</w:t>
            </w:r>
          </w:p>
          <w:p w:rsidR="00A56666" w:rsidRPr="00765CB9" w:rsidRDefault="00A56666" w:rsidP="00674A1B">
            <w:pPr>
              <w:spacing w:after="0"/>
              <w:jc w:val="both"/>
              <w:rPr>
                <w:sz w:val="18"/>
                <w:szCs w:val="18"/>
                <w:lang w:val="sv-SE"/>
              </w:rPr>
            </w:pPr>
            <w:r w:rsidRPr="00765CB9">
              <w:rPr>
                <w:sz w:val="18"/>
                <w:szCs w:val="18"/>
                <w:lang w:val="sv-SE"/>
              </w:rPr>
              <w:t>tel.: +48 22 348 4131</w:t>
            </w:r>
          </w:p>
          <w:p w:rsidR="00A56666" w:rsidRPr="00765CB9" w:rsidRDefault="00A56666" w:rsidP="00674A1B">
            <w:pPr>
              <w:spacing w:after="0"/>
              <w:jc w:val="both"/>
              <w:rPr>
                <w:sz w:val="18"/>
                <w:szCs w:val="18"/>
                <w:lang w:val="sv-SE"/>
              </w:rPr>
            </w:pPr>
            <w:r w:rsidRPr="00765CB9">
              <w:rPr>
                <w:sz w:val="18"/>
                <w:szCs w:val="18"/>
                <w:lang w:val="sv-SE"/>
              </w:rPr>
              <w:t>kom.: + 48 512 164 131</w:t>
            </w:r>
          </w:p>
          <w:p w:rsidR="00A56666" w:rsidRPr="00765CB9" w:rsidRDefault="003E14FB" w:rsidP="00674A1B">
            <w:pPr>
              <w:spacing w:after="0"/>
              <w:jc w:val="both"/>
              <w:rPr>
                <w:sz w:val="18"/>
                <w:szCs w:val="18"/>
                <w:lang w:val="sv-SE"/>
              </w:rPr>
            </w:pPr>
            <w:hyperlink r:id="rId10" w:history="1">
              <w:r w:rsidR="00A56666" w:rsidRPr="00765CB9">
                <w:rPr>
                  <w:rStyle w:val="Hipercze"/>
                  <w:sz w:val="18"/>
                  <w:szCs w:val="18"/>
                  <w:lang w:val="sv-SE"/>
                </w:rPr>
                <w:t>kontaktmedia@bik.pl</w:t>
              </w:r>
            </w:hyperlink>
            <w:r w:rsidR="00A56666" w:rsidRPr="00765CB9">
              <w:rPr>
                <w:sz w:val="18"/>
                <w:szCs w:val="18"/>
                <w:lang w:val="sv-SE"/>
              </w:rPr>
              <w:t xml:space="preserve"> </w:t>
            </w:r>
          </w:p>
        </w:tc>
      </w:tr>
    </w:tbl>
    <w:p w:rsidR="00A56666" w:rsidRDefault="00A56666" w:rsidP="00A56666">
      <w:pPr>
        <w:jc w:val="both"/>
        <w:rPr>
          <w:sz w:val="18"/>
          <w:szCs w:val="18"/>
        </w:rPr>
      </w:pPr>
    </w:p>
    <w:p w:rsidR="00E929BB" w:rsidRDefault="00E929BB" w:rsidP="00E929BB">
      <w:pPr>
        <w:jc w:val="both"/>
        <w:rPr>
          <w:b/>
          <w:sz w:val="18"/>
          <w:szCs w:val="18"/>
          <w:u w:val="single"/>
        </w:rPr>
      </w:pPr>
      <w:r>
        <w:rPr>
          <w:b/>
          <w:sz w:val="18"/>
          <w:szCs w:val="18"/>
          <w:u w:val="single"/>
        </w:rPr>
        <w:t>O REAS:</w:t>
      </w:r>
    </w:p>
    <w:p w:rsidR="00E929BB" w:rsidRPr="000865D5" w:rsidRDefault="00E929BB" w:rsidP="00E929BB">
      <w:pPr>
        <w:jc w:val="both"/>
        <w:rPr>
          <w:b/>
          <w:sz w:val="18"/>
          <w:szCs w:val="18"/>
          <w:u w:val="single"/>
        </w:rPr>
      </w:pPr>
      <w:r w:rsidRPr="00C803C7">
        <w:rPr>
          <w:b/>
          <w:sz w:val="18"/>
          <w:szCs w:val="18"/>
        </w:rPr>
        <w:t>REAS</w:t>
      </w:r>
      <w:r w:rsidRPr="000865D5">
        <w:rPr>
          <w:sz w:val="18"/>
          <w:szCs w:val="18"/>
        </w:rPr>
        <w:t xml:space="preserve"> jest</w:t>
      </w:r>
      <w:r>
        <w:rPr>
          <w:sz w:val="18"/>
          <w:szCs w:val="18"/>
        </w:rPr>
        <w:t xml:space="preserve"> polską</w:t>
      </w:r>
      <w:r w:rsidRPr="000865D5">
        <w:rPr>
          <w:sz w:val="18"/>
          <w:szCs w:val="18"/>
        </w:rPr>
        <w:t xml:space="preserve"> firmą doradczą specjalizującą się w zagadnieniach związanych z rynkiem mieszkaniowym. Od 1997 roku </w:t>
      </w:r>
      <w:r>
        <w:rPr>
          <w:sz w:val="18"/>
          <w:szCs w:val="18"/>
        </w:rPr>
        <w:t xml:space="preserve">świadczy </w:t>
      </w:r>
      <w:r w:rsidRPr="00FC4738">
        <w:rPr>
          <w:sz w:val="18"/>
          <w:szCs w:val="18"/>
        </w:rPr>
        <w:t>usługi na rzecz deweloperów, banków, inwestorów, a także organów administracji rządowej i samorządowej oraz innych podmiotów, które są nierozerwalnie związane z rynkiem nieruchomości mieszkaniowych w Polsce</w:t>
      </w:r>
      <w:r>
        <w:rPr>
          <w:sz w:val="18"/>
          <w:szCs w:val="18"/>
        </w:rPr>
        <w:t xml:space="preserve">. Od 2000 roku </w:t>
      </w:r>
      <w:r w:rsidRPr="000865D5">
        <w:rPr>
          <w:sz w:val="18"/>
          <w:szCs w:val="18"/>
        </w:rPr>
        <w:t xml:space="preserve">nieprzerwanie prowadzi największy w Polsce program badania krajowego rynku deweloperskiego </w:t>
      </w:r>
      <w:r w:rsidRPr="00FC4738">
        <w:rPr>
          <w:sz w:val="18"/>
          <w:szCs w:val="18"/>
        </w:rPr>
        <w:t>gromadząc dane o inwestycjach w bazie danych opartej o system GIS. Dzięki posiadanej wiedzy REAS dostarcza szeroki zakres analiz rynku oraz formułuje długoterminowe prognozy wspomagające proces planowania strategicznego.</w:t>
      </w:r>
      <w:r>
        <w:rPr>
          <w:sz w:val="18"/>
          <w:szCs w:val="18"/>
        </w:rPr>
        <w:t xml:space="preserve"> </w:t>
      </w:r>
      <w:r w:rsidRPr="000865D5">
        <w:rPr>
          <w:sz w:val="18"/>
          <w:szCs w:val="18"/>
        </w:rPr>
        <w:t>Ponadto zespół specjalistów REAS świadczy kompleksowe usługi doradcze dla deweloperów mieszkaniowych: od wstępnej analizy gruntu przez doradztwo produktowe i finansowe po wsparcie w komercjalizacji.</w:t>
      </w:r>
      <w:r>
        <w:rPr>
          <w:sz w:val="18"/>
          <w:szCs w:val="18"/>
        </w:rPr>
        <w:t xml:space="preserve"> </w:t>
      </w:r>
      <w:r w:rsidRPr="000865D5">
        <w:rPr>
          <w:sz w:val="18"/>
          <w:szCs w:val="18"/>
        </w:rPr>
        <w:t>Spółka angażuje się przy tym w rozwój niedocenianych dotychczas sektorów, takich jak</w:t>
      </w:r>
      <w:r>
        <w:rPr>
          <w:sz w:val="18"/>
          <w:szCs w:val="18"/>
        </w:rPr>
        <w:t xml:space="preserve"> instytucjonalny</w:t>
      </w:r>
      <w:r w:rsidRPr="000865D5">
        <w:rPr>
          <w:sz w:val="18"/>
          <w:szCs w:val="18"/>
        </w:rPr>
        <w:t xml:space="preserve"> </w:t>
      </w:r>
      <w:r>
        <w:rPr>
          <w:sz w:val="18"/>
          <w:szCs w:val="18"/>
        </w:rPr>
        <w:t>rynek najmu</w:t>
      </w:r>
      <w:r w:rsidRPr="000865D5">
        <w:rPr>
          <w:sz w:val="18"/>
          <w:szCs w:val="18"/>
        </w:rPr>
        <w:t xml:space="preserve">, </w:t>
      </w:r>
      <w:r>
        <w:rPr>
          <w:sz w:val="18"/>
          <w:szCs w:val="18"/>
        </w:rPr>
        <w:t xml:space="preserve">budownictwo </w:t>
      </w:r>
      <w:r w:rsidRPr="000865D5">
        <w:rPr>
          <w:sz w:val="18"/>
          <w:szCs w:val="18"/>
        </w:rPr>
        <w:t xml:space="preserve">dla seniorów rozwój segmentu mieszkań studenckich. </w:t>
      </w:r>
    </w:p>
    <w:p w:rsidR="00E929BB" w:rsidRPr="000865D5" w:rsidRDefault="00E929BB" w:rsidP="00E929BB">
      <w:pPr>
        <w:jc w:val="both"/>
        <w:rPr>
          <w:b/>
          <w:sz w:val="18"/>
          <w:szCs w:val="18"/>
        </w:rPr>
      </w:pPr>
      <w:r w:rsidRPr="000865D5">
        <w:rPr>
          <w:b/>
          <w:sz w:val="18"/>
          <w:szCs w:val="18"/>
        </w:rPr>
        <w:t xml:space="preserve">Kontakt dla mediów: </w:t>
      </w:r>
    </w:p>
    <w:p w:rsidR="00E929BB" w:rsidRPr="000865D5" w:rsidRDefault="00E929BB" w:rsidP="00E929BB">
      <w:pPr>
        <w:pStyle w:val="Bezodstpw"/>
        <w:rPr>
          <w:sz w:val="18"/>
          <w:szCs w:val="18"/>
        </w:rPr>
      </w:pPr>
      <w:r w:rsidRPr="000865D5">
        <w:rPr>
          <w:sz w:val="18"/>
          <w:szCs w:val="18"/>
        </w:rPr>
        <w:t>Ewa Tęczak</w:t>
      </w:r>
    </w:p>
    <w:p w:rsidR="00E929BB" w:rsidRPr="000865D5" w:rsidRDefault="00E929BB" w:rsidP="00E929BB">
      <w:pPr>
        <w:pStyle w:val="Bezodstpw"/>
        <w:rPr>
          <w:sz w:val="18"/>
          <w:szCs w:val="18"/>
        </w:rPr>
      </w:pPr>
      <w:r w:rsidRPr="000865D5">
        <w:rPr>
          <w:sz w:val="18"/>
          <w:szCs w:val="18"/>
        </w:rPr>
        <w:t>Specjalista ds. Marketingu i PR</w:t>
      </w:r>
    </w:p>
    <w:p w:rsidR="00E929BB" w:rsidRPr="00E929BB" w:rsidRDefault="00E929BB" w:rsidP="00E929BB">
      <w:pPr>
        <w:pStyle w:val="Bezodstpw"/>
        <w:rPr>
          <w:sz w:val="18"/>
          <w:szCs w:val="18"/>
        </w:rPr>
      </w:pPr>
      <w:r>
        <w:rPr>
          <w:sz w:val="18"/>
          <w:szCs w:val="18"/>
        </w:rPr>
        <w:t>tel.:  +48 22</w:t>
      </w:r>
      <w:r w:rsidRPr="00E929BB">
        <w:rPr>
          <w:sz w:val="18"/>
          <w:szCs w:val="18"/>
        </w:rPr>
        <w:t xml:space="preserve"> 380</w:t>
      </w:r>
      <w:r>
        <w:rPr>
          <w:sz w:val="18"/>
          <w:szCs w:val="18"/>
        </w:rPr>
        <w:t xml:space="preserve"> </w:t>
      </w:r>
      <w:r w:rsidRPr="00E929BB">
        <w:rPr>
          <w:sz w:val="18"/>
          <w:szCs w:val="18"/>
        </w:rPr>
        <w:t>21</w:t>
      </w:r>
      <w:r>
        <w:rPr>
          <w:sz w:val="18"/>
          <w:szCs w:val="18"/>
        </w:rPr>
        <w:t xml:space="preserve"> </w:t>
      </w:r>
      <w:r w:rsidRPr="00E929BB">
        <w:rPr>
          <w:sz w:val="18"/>
          <w:szCs w:val="18"/>
        </w:rPr>
        <w:t xml:space="preserve">02 </w:t>
      </w:r>
      <w:r w:rsidRPr="00E929BB">
        <w:rPr>
          <w:sz w:val="18"/>
          <w:szCs w:val="18"/>
        </w:rPr>
        <w:br/>
        <w:t>kom.: +48 664 088 220</w:t>
      </w:r>
    </w:p>
    <w:p w:rsidR="00E929BB" w:rsidRPr="00C803C7" w:rsidRDefault="003E14FB" w:rsidP="00E929BB">
      <w:pPr>
        <w:pStyle w:val="Bezodstpw"/>
        <w:rPr>
          <w:sz w:val="18"/>
          <w:szCs w:val="18"/>
        </w:rPr>
      </w:pPr>
      <w:hyperlink r:id="rId11" w:history="1">
        <w:r w:rsidR="00E929BB" w:rsidRPr="00D62D58">
          <w:rPr>
            <w:rStyle w:val="Hipercze"/>
            <w:sz w:val="18"/>
            <w:szCs w:val="18"/>
          </w:rPr>
          <w:t>ewa.teczak@reas.pl</w:t>
        </w:r>
      </w:hyperlink>
      <w:r w:rsidR="00E929BB">
        <w:rPr>
          <w:sz w:val="18"/>
          <w:szCs w:val="18"/>
        </w:rPr>
        <w:t xml:space="preserve"> </w:t>
      </w:r>
    </w:p>
    <w:p w:rsidR="00E929BB" w:rsidRPr="00E929BB" w:rsidRDefault="00E929BB" w:rsidP="00E929BB">
      <w:pPr>
        <w:jc w:val="both"/>
        <w:rPr>
          <w:sz w:val="18"/>
          <w:szCs w:val="18"/>
        </w:rPr>
      </w:pPr>
    </w:p>
    <w:p w:rsidR="00E929BB" w:rsidRDefault="00E929BB" w:rsidP="00A56666">
      <w:pPr>
        <w:jc w:val="both"/>
        <w:rPr>
          <w:sz w:val="18"/>
          <w:szCs w:val="18"/>
        </w:rPr>
      </w:pPr>
    </w:p>
    <w:p w:rsidR="00A56666" w:rsidRDefault="00A56666" w:rsidP="00A56666">
      <w:pPr>
        <w:jc w:val="both"/>
        <w:rPr>
          <w:b/>
          <w:sz w:val="18"/>
          <w:szCs w:val="18"/>
          <w:u w:val="single"/>
        </w:rPr>
      </w:pPr>
    </w:p>
    <w:p w:rsidR="009A147E" w:rsidRDefault="009A147E"/>
    <w:sectPr w:rsidR="009A147E" w:rsidSect="0079508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4FB" w:rsidRDefault="003E14FB">
      <w:pPr>
        <w:spacing w:after="0" w:line="240" w:lineRule="auto"/>
      </w:pPr>
      <w:r>
        <w:separator/>
      </w:r>
    </w:p>
  </w:endnote>
  <w:endnote w:type="continuationSeparator" w:id="0">
    <w:p w:rsidR="003E14FB" w:rsidRDefault="003E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69" w:rsidRDefault="009E08CC">
    <w:pPr>
      <w:pStyle w:val="Stopka"/>
      <w:jc w:val="center"/>
    </w:pPr>
    <w:r>
      <w:fldChar w:fldCharType="begin"/>
    </w:r>
    <w:r>
      <w:instrText xml:space="preserve"> PAGE   \* MERGEFORMAT </w:instrText>
    </w:r>
    <w:r>
      <w:fldChar w:fldCharType="separate"/>
    </w:r>
    <w:r w:rsidR="00B83446">
      <w:rPr>
        <w:noProof/>
      </w:rPr>
      <w:t>1</w:t>
    </w:r>
    <w:r>
      <w:rPr>
        <w:noProof/>
      </w:rPr>
      <w:fldChar w:fldCharType="end"/>
    </w:r>
  </w:p>
  <w:p w:rsidR="00170D69" w:rsidRDefault="003E14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4FB" w:rsidRDefault="003E14FB">
      <w:pPr>
        <w:spacing w:after="0" w:line="240" w:lineRule="auto"/>
      </w:pPr>
      <w:r>
        <w:separator/>
      </w:r>
    </w:p>
  </w:footnote>
  <w:footnote w:type="continuationSeparator" w:id="0">
    <w:p w:rsidR="003E14FB" w:rsidRDefault="003E1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514" w:rsidRDefault="00A56666" w:rsidP="00273514">
    <w:pPr>
      <w:pStyle w:val="Nagwek"/>
      <w:jc w:val="center"/>
    </w:pPr>
    <w:r w:rsidRPr="00690FA7">
      <w:rPr>
        <w:noProof/>
      </w:rPr>
      <w:drawing>
        <wp:inline distT="0" distB="0" distL="0" distR="0">
          <wp:extent cx="1524000" cy="781050"/>
          <wp:effectExtent l="0" t="0" r="0" b="0"/>
          <wp:docPr id="1" name="Obraz 1" descr="Logotyp BIK - Uproszczone - pel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 BIK - Uproszczone - pel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a:ln>
                    <a:noFill/>
                  </a:ln>
                </pic:spPr>
              </pic:pic>
            </a:graphicData>
          </a:graphic>
        </wp:inline>
      </w:drawing>
    </w:r>
  </w:p>
  <w:p w:rsidR="00273514" w:rsidRDefault="003E14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D7D64"/>
    <w:multiLevelType w:val="hybridMultilevel"/>
    <w:tmpl w:val="6B261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AB64F9C"/>
    <w:multiLevelType w:val="hybridMultilevel"/>
    <w:tmpl w:val="8FF41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C642B4F"/>
    <w:multiLevelType w:val="hybridMultilevel"/>
    <w:tmpl w:val="40021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uta Cabaj">
    <w15:presenceInfo w15:providerId="AD" w15:userId="S-1-5-21-2414005191-2431363525-1628603290-51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66"/>
    <w:rsid w:val="00027688"/>
    <w:rsid w:val="000552C4"/>
    <w:rsid w:val="000604FD"/>
    <w:rsid w:val="000B4A66"/>
    <w:rsid w:val="000B4A7C"/>
    <w:rsid w:val="000F5A44"/>
    <w:rsid w:val="00104B0A"/>
    <w:rsid w:val="00123C02"/>
    <w:rsid w:val="001377D6"/>
    <w:rsid w:val="00142674"/>
    <w:rsid w:val="0014318C"/>
    <w:rsid w:val="001463D2"/>
    <w:rsid w:val="00160532"/>
    <w:rsid w:val="00193CD9"/>
    <w:rsid w:val="0020102F"/>
    <w:rsid w:val="002070D0"/>
    <w:rsid w:val="0023681E"/>
    <w:rsid w:val="00240363"/>
    <w:rsid w:val="00273A52"/>
    <w:rsid w:val="002B5A23"/>
    <w:rsid w:val="002C4B9B"/>
    <w:rsid w:val="002D4687"/>
    <w:rsid w:val="002E3D4A"/>
    <w:rsid w:val="002E46C5"/>
    <w:rsid w:val="00340334"/>
    <w:rsid w:val="0036431B"/>
    <w:rsid w:val="003728E2"/>
    <w:rsid w:val="00397A34"/>
    <w:rsid w:val="003D6DF1"/>
    <w:rsid w:val="003E14FB"/>
    <w:rsid w:val="003E7F5B"/>
    <w:rsid w:val="00401D38"/>
    <w:rsid w:val="004127B0"/>
    <w:rsid w:val="00442F37"/>
    <w:rsid w:val="004C67E6"/>
    <w:rsid w:val="004D0818"/>
    <w:rsid w:val="004E06B3"/>
    <w:rsid w:val="004E0E0B"/>
    <w:rsid w:val="004E4ADB"/>
    <w:rsid w:val="005311F4"/>
    <w:rsid w:val="00535E6B"/>
    <w:rsid w:val="005459DB"/>
    <w:rsid w:val="005509C5"/>
    <w:rsid w:val="0055222F"/>
    <w:rsid w:val="005716CD"/>
    <w:rsid w:val="005768AD"/>
    <w:rsid w:val="005C3577"/>
    <w:rsid w:val="005C7D96"/>
    <w:rsid w:val="005E34AE"/>
    <w:rsid w:val="00606F3E"/>
    <w:rsid w:val="006223EC"/>
    <w:rsid w:val="00647E6F"/>
    <w:rsid w:val="006622EE"/>
    <w:rsid w:val="00666CBB"/>
    <w:rsid w:val="0068555A"/>
    <w:rsid w:val="00697AFB"/>
    <w:rsid w:val="006A00D3"/>
    <w:rsid w:val="006D2DB0"/>
    <w:rsid w:val="006F19B0"/>
    <w:rsid w:val="00713BF7"/>
    <w:rsid w:val="0071660E"/>
    <w:rsid w:val="00734EA2"/>
    <w:rsid w:val="00737BD9"/>
    <w:rsid w:val="0074321C"/>
    <w:rsid w:val="007751BD"/>
    <w:rsid w:val="007D56B2"/>
    <w:rsid w:val="00890ED0"/>
    <w:rsid w:val="008C41AF"/>
    <w:rsid w:val="008C5686"/>
    <w:rsid w:val="008D1775"/>
    <w:rsid w:val="008D4709"/>
    <w:rsid w:val="008F6643"/>
    <w:rsid w:val="00907607"/>
    <w:rsid w:val="009308DA"/>
    <w:rsid w:val="00935D9C"/>
    <w:rsid w:val="00946944"/>
    <w:rsid w:val="00947A89"/>
    <w:rsid w:val="0096012D"/>
    <w:rsid w:val="009629B3"/>
    <w:rsid w:val="009A147E"/>
    <w:rsid w:val="009B5516"/>
    <w:rsid w:val="009B70FB"/>
    <w:rsid w:val="009E08CC"/>
    <w:rsid w:val="00A42810"/>
    <w:rsid w:val="00A524E6"/>
    <w:rsid w:val="00A56348"/>
    <w:rsid w:val="00A56666"/>
    <w:rsid w:val="00AE45AE"/>
    <w:rsid w:val="00B21BA6"/>
    <w:rsid w:val="00B302C3"/>
    <w:rsid w:val="00B37B46"/>
    <w:rsid w:val="00B404CE"/>
    <w:rsid w:val="00B66AAC"/>
    <w:rsid w:val="00B75876"/>
    <w:rsid w:val="00B83446"/>
    <w:rsid w:val="00B85C2E"/>
    <w:rsid w:val="00BD156C"/>
    <w:rsid w:val="00BF0B78"/>
    <w:rsid w:val="00C30503"/>
    <w:rsid w:val="00C36052"/>
    <w:rsid w:val="00C62632"/>
    <w:rsid w:val="00C709B2"/>
    <w:rsid w:val="00C76BAD"/>
    <w:rsid w:val="00C81514"/>
    <w:rsid w:val="00C8391E"/>
    <w:rsid w:val="00CC325F"/>
    <w:rsid w:val="00CF4054"/>
    <w:rsid w:val="00D11C45"/>
    <w:rsid w:val="00D241C7"/>
    <w:rsid w:val="00D52AA8"/>
    <w:rsid w:val="00D64064"/>
    <w:rsid w:val="00DD6FDF"/>
    <w:rsid w:val="00E04362"/>
    <w:rsid w:val="00E22DD5"/>
    <w:rsid w:val="00E339E5"/>
    <w:rsid w:val="00E929BB"/>
    <w:rsid w:val="00F1760C"/>
    <w:rsid w:val="00F52D5B"/>
    <w:rsid w:val="00F93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6666"/>
    <w:pPr>
      <w:spacing w:after="200" w:line="276" w:lineRule="auto"/>
    </w:pPr>
    <w:rPr>
      <w:rFonts w:ascii="Calibri" w:eastAsia="Times New Roman" w:hAnsi="Calibri" w:cs="Times New Roman"/>
      <w:lang w:eastAsia="pl-PL"/>
    </w:rPr>
  </w:style>
  <w:style w:type="paragraph" w:styleId="Nagwek2">
    <w:name w:val="heading 2"/>
    <w:basedOn w:val="Normalny"/>
    <w:next w:val="Normalny"/>
    <w:link w:val="Nagwek2Znak"/>
    <w:uiPriority w:val="9"/>
    <w:unhideWhenUsed/>
    <w:qFormat/>
    <w:rsid w:val="00A56666"/>
    <w:pPr>
      <w:keepNext/>
      <w:keepLines/>
      <w:spacing w:before="200" w:after="0"/>
      <w:outlineLvl w:val="1"/>
    </w:pPr>
    <w:rPr>
      <w:rFonts w:ascii="Cambria" w:hAnsi="Cambria"/>
      <w:b/>
      <w:bCs/>
      <w:color w:val="4F81BD"/>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56666"/>
    <w:rPr>
      <w:rFonts w:ascii="Cambria" w:eastAsia="Times New Roman" w:hAnsi="Cambria" w:cs="Times New Roman"/>
      <w:b/>
      <w:bCs/>
      <w:color w:val="4F81BD"/>
      <w:sz w:val="26"/>
      <w:szCs w:val="26"/>
      <w:lang w:val="x-none" w:eastAsia="x-none"/>
    </w:rPr>
  </w:style>
  <w:style w:type="paragraph" w:styleId="Nagwek">
    <w:name w:val="header"/>
    <w:basedOn w:val="Normalny"/>
    <w:link w:val="NagwekZnak"/>
    <w:uiPriority w:val="99"/>
    <w:unhideWhenUsed/>
    <w:rsid w:val="00A566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6666"/>
    <w:rPr>
      <w:rFonts w:ascii="Calibri" w:eastAsia="Times New Roman" w:hAnsi="Calibri" w:cs="Times New Roman"/>
      <w:lang w:eastAsia="pl-PL"/>
    </w:rPr>
  </w:style>
  <w:style w:type="paragraph" w:styleId="Stopka">
    <w:name w:val="footer"/>
    <w:basedOn w:val="Normalny"/>
    <w:link w:val="StopkaZnak"/>
    <w:uiPriority w:val="99"/>
    <w:unhideWhenUsed/>
    <w:rsid w:val="00A566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6666"/>
    <w:rPr>
      <w:rFonts w:ascii="Calibri" w:eastAsia="Times New Roman" w:hAnsi="Calibri" w:cs="Times New Roman"/>
      <w:lang w:eastAsia="pl-PL"/>
    </w:rPr>
  </w:style>
  <w:style w:type="character" w:styleId="Hipercze">
    <w:name w:val="Hyperlink"/>
    <w:uiPriority w:val="99"/>
    <w:unhideWhenUsed/>
    <w:rsid w:val="00A56666"/>
    <w:rPr>
      <w:color w:val="0000FF"/>
      <w:u w:val="single"/>
    </w:rPr>
  </w:style>
  <w:style w:type="paragraph" w:styleId="Zwykytekst">
    <w:name w:val="Plain Text"/>
    <w:basedOn w:val="Normalny"/>
    <w:link w:val="ZwykytekstZnak"/>
    <w:uiPriority w:val="99"/>
    <w:unhideWhenUsed/>
    <w:rsid w:val="00A56666"/>
    <w:pPr>
      <w:spacing w:after="0" w:line="240" w:lineRule="auto"/>
    </w:pPr>
    <w:rPr>
      <w:sz w:val="20"/>
      <w:szCs w:val="21"/>
      <w:lang w:val="x-none" w:eastAsia="x-none"/>
    </w:rPr>
  </w:style>
  <w:style w:type="character" w:customStyle="1" w:styleId="ZwykytekstZnak">
    <w:name w:val="Zwykły tekst Znak"/>
    <w:basedOn w:val="Domylnaczcionkaakapitu"/>
    <w:link w:val="Zwykytekst"/>
    <w:uiPriority w:val="99"/>
    <w:rsid w:val="00A56666"/>
    <w:rPr>
      <w:rFonts w:ascii="Calibri" w:eastAsia="Times New Roman" w:hAnsi="Calibri" w:cs="Times New Roman"/>
      <w:sz w:val="20"/>
      <w:szCs w:val="21"/>
      <w:lang w:val="x-none" w:eastAsia="x-none"/>
    </w:rPr>
  </w:style>
  <w:style w:type="paragraph" w:styleId="Akapitzlist">
    <w:name w:val="List Paragraph"/>
    <w:basedOn w:val="Normalny"/>
    <w:uiPriority w:val="34"/>
    <w:qFormat/>
    <w:rsid w:val="007751BD"/>
    <w:pPr>
      <w:spacing w:after="0" w:line="240" w:lineRule="auto"/>
      <w:ind w:left="720"/>
      <w:contextualSpacing/>
    </w:pPr>
    <w:rPr>
      <w:rFonts w:ascii="Times New Roman" w:hAnsi="Times New Roman"/>
      <w:sz w:val="24"/>
      <w:szCs w:val="24"/>
    </w:rPr>
  </w:style>
  <w:style w:type="paragraph" w:styleId="Tekstdymka">
    <w:name w:val="Balloon Text"/>
    <w:basedOn w:val="Normalny"/>
    <w:link w:val="TekstdymkaZnak"/>
    <w:uiPriority w:val="99"/>
    <w:semiHidden/>
    <w:unhideWhenUsed/>
    <w:rsid w:val="00B404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04CE"/>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311F4"/>
    <w:rPr>
      <w:sz w:val="16"/>
      <w:szCs w:val="16"/>
    </w:rPr>
  </w:style>
  <w:style w:type="paragraph" w:styleId="Tekstkomentarza">
    <w:name w:val="annotation text"/>
    <w:basedOn w:val="Normalny"/>
    <w:link w:val="TekstkomentarzaZnak"/>
    <w:uiPriority w:val="99"/>
    <w:semiHidden/>
    <w:unhideWhenUsed/>
    <w:rsid w:val="005311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11F4"/>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311F4"/>
    <w:rPr>
      <w:b/>
      <w:bCs/>
    </w:rPr>
  </w:style>
  <w:style w:type="character" w:customStyle="1" w:styleId="TematkomentarzaZnak">
    <w:name w:val="Temat komentarza Znak"/>
    <w:basedOn w:val="TekstkomentarzaZnak"/>
    <w:link w:val="Tematkomentarza"/>
    <w:uiPriority w:val="99"/>
    <w:semiHidden/>
    <w:rsid w:val="005311F4"/>
    <w:rPr>
      <w:rFonts w:ascii="Calibri" w:eastAsia="Times New Roman" w:hAnsi="Calibri" w:cs="Times New Roman"/>
      <w:b/>
      <w:bCs/>
      <w:sz w:val="20"/>
      <w:szCs w:val="20"/>
      <w:lang w:eastAsia="pl-PL"/>
    </w:rPr>
  </w:style>
  <w:style w:type="paragraph" w:styleId="Bezodstpw">
    <w:name w:val="No Spacing"/>
    <w:uiPriority w:val="1"/>
    <w:qFormat/>
    <w:rsid w:val="00E929BB"/>
    <w:pPr>
      <w:spacing w:after="0" w:line="240" w:lineRule="auto"/>
    </w:pPr>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6666"/>
    <w:pPr>
      <w:spacing w:after="200" w:line="276" w:lineRule="auto"/>
    </w:pPr>
    <w:rPr>
      <w:rFonts w:ascii="Calibri" w:eastAsia="Times New Roman" w:hAnsi="Calibri" w:cs="Times New Roman"/>
      <w:lang w:eastAsia="pl-PL"/>
    </w:rPr>
  </w:style>
  <w:style w:type="paragraph" w:styleId="Nagwek2">
    <w:name w:val="heading 2"/>
    <w:basedOn w:val="Normalny"/>
    <w:next w:val="Normalny"/>
    <w:link w:val="Nagwek2Znak"/>
    <w:uiPriority w:val="9"/>
    <w:unhideWhenUsed/>
    <w:qFormat/>
    <w:rsid w:val="00A56666"/>
    <w:pPr>
      <w:keepNext/>
      <w:keepLines/>
      <w:spacing w:before="200" w:after="0"/>
      <w:outlineLvl w:val="1"/>
    </w:pPr>
    <w:rPr>
      <w:rFonts w:ascii="Cambria" w:hAnsi="Cambria"/>
      <w:b/>
      <w:bCs/>
      <w:color w:val="4F81BD"/>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56666"/>
    <w:rPr>
      <w:rFonts w:ascii="Cambria" w:eastAsia="Times New Roman" w:hAnsi="Cambria" w:cs="Times New Roman"/>
      <w:b/>
      <w:bCs/>
      <w:color w:val="4F81BD"/>
      <w:sz w:val="26"/>
      <w:szCs w:val="26"/>
      <w:lang w:val="x-none" w:eastAsia="x-none"/>
    </w:rPr>
  </w:style>
  <w:style w:type="paragraph" w:styleId="Nagwek">
    <w:name w:val="header"/>
    <w:basedOn w:val="Normalny"/>
    <w:link w:val="NagwekZnak"/>
    <w:uiPriority w:val="99"/>
    <w:unhideWhenUsed/>
    <w:rsid w:val="00A566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6666"/>
    <w:rPr>
      <w:rFonts w:ascii="Calibri" w:eastAsia="Times New Roman" w:hAnsi="Calibri" w:cs="Times New Roman"/>
      <w:lang w:eastAsia="pl-PL"/>
    </w:rPr>
  </w:style>
  <w:style w:type="paragraph" w:styleId="Stopka">
    <w:name w:val="footer"/>
    <w:basedOn w:val="Normalny"/>
    <w:link w:val="StopkaZnak"/>
    <w:uiPriority w:val="99"/>
    <w:unhideWhenUsed/>
    <w:rsid w:val="00A566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6666"/>
    <w:rPr>
      <w:rFonts w:ascii="Calibri" w:eastAsia="Times New Roman" w:hAnsi="Calibri" w:cs="Times New Roman"/>
      <w:lang w:eastAsia="pl-PL"/>
    </w:rPr>
  </w:style>
  <w:style w:type="character" w:styleId="Hipercze">
    <w:name w:val="Hyperlink"/>
    <w:uiPriority w:val="99"/>
    <w:unhideWhenUsed/>
    <w:rsid w:val="00A56666"/>
    <w:rPr>
      <w:color w:val="0000FF"/>
      <w:u w:val="single"/>
    </w:rPr>
  </w:style>
  <w:style w:type="paragraph" w:styleId="Zwykytekst">
    <w:name w:val="Plain Text"/>
    <w:basedOn w:val="Normalny"/>
    <w:link w:val="ZwykytekstZnak"/>
    <w:uiPriority w:val="99"/>
    <w:unhideWhenUsed/>
    <w:rsid w:val="00A56666"/>
    <w:pPr>
      <w:spacing w:after="0" w:line="240" w:lineRule="auto"/>
    </w:pPr>
    <w:rPr>
      <w:sz w:val="20"/>
      <w:szCs w:val="21"/>
      <w:lang w:val="x-none" w:eastAsia="x-none"/>
    </w:rPr>
  </w:style>
  <w:style w:type="character" w:customStyle="1" w:styleId="ZwykytekstZnak">
    <w:name w:val="Zwykły tekst Znak"/>
    <w:basedOn w:val="Domylnaczcionkaakapitu"/>
    <w:link w:val="Zwykytekst"/>
    <w:uiPriority w:val="99"/>
    <w:rsid w:val="00A56666"/>
    <w:rPr>
      <w:rFonts w:ascii="Calibri" w:eastAsia="Times New Roman" w:hAnsi="Calibri" w:cs="Times New Roman"/>
      <w:sz w:val="20"/>
      <w:szCs w:val="21"/>
      <w:lang w:val="x-none" w:eastAsia="x-none"/>
    </w:rPr>
  </w:style>
  <w:style w:type="paragraph" w:styleId="Akapitzlist">
    <w:name w:val="List Paragraph"/>
    <w:basedOn w:val="Normalny"/>
    <w:uiPriority w:val="34"/>
    <w:qFormat/>
    <w:rsid w:val="007751BD"/>
    <w:pPr>
      <w:spacing w:after="0" w:line="240" w:lineRule="auto"/>
      <w:ind w:left="720"/>
      <w:contextualSpacing/>
    </w:pPr>
    <w:rPr>
      <w:rFonts w:ascii="Times New Roman" w:hAnsi="Times New Roman"/>
      <w:sz w:val="24"/>
      <w:szCs w:val="24"/>
    </w:rPr>
  </w:style>
  <w:style w:type="paragraph" w:styleId="Tekstdymka">
    <w:name w:val="Balloon Text"/>
    <w:basedOn w:val="Normalny"/>
    <w:link w:val="TekstdymkaZnak"/>
    <w:uiPriority w:val="99"/>
    <w:semiHidden/>
    <w:unhideWhenUsed/>
    <w:rsid w:val="00B404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04CE"/>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311F4"/>
    <w:rPr>
      <w:sz w:val="16"/>
      <w:szCs w:val="16"/>
    </w:rPr>
  </w:style>
  <w:style w:type="paragraph" w:styleId="Tekstkomentarza">
    <w:name w:val="annotation text"/>
    <w:basedOn w:val="Normalny"/>
    <w:link w:val="TekstkomentarzaZnak"/>
    <w:uiPriority w:val="99"/>
    <w:semiHidden/>
    <w:unhideWhenUsed/>
    <w:rsid w:val="005311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11F4"/>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311F4"/>
    <w:rPr>
      <w:b/>
      <w:bCs/>
    </w:rPr>
  </w:style>
  <w:style w:type="character" w:customStyle="1" w:styleId="TematkomentarzaZnak">
    <w:name w:val="Temat komentarza Znak"/>
    <w:basedOn w:val="TekstkomentarzaZnak"/>
    <w:link w:val="Tematkomentarza"/>
    <w:uiPriority w:val="99"/>
    <w:semiHidden/>
    <w:rsid w:val="005311F4"/>
    <w:rPr>
      <w:rFonts w:ascii="Calibri" w:eastAsia="Times New Roman" w:hAnsi="Calibri" w:cs="Times New Roman"/>
      <w:b/>
      <w:bCs/>
      <w:sz w:val="20"/>
      <w:szCs w:val="20"/>
      <w:lang w:eastAsia="pl-PL"/>
    </w:rPr>
  </w:style>
  <w:style w:type="paragraph" w:styleId="Bezodstpw">
    <w:name w:val="No Spacing"/>
    <w:uiPriority w:val="1"/>
    <w:qFormat/>
    <w:rsid w:val="00E929BB"/>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80467">
      <w:bodyDiv w:val="1"/>
      <w:marLeft w:val="0"/>
      <w:marRight w:val="0"/>
      <w:marTop w:val="0"/>
      <w:marBottom w:val="0"/>
      <w:divBdr>
        <w:top w:val="none" w:sz="0" w:space="0" w:color="auto"/>
        <w:left w:val="none" w:sz="0" w:space="0" w:color="auto"/>
        <w:bottom w:val="none" w:sz="0" w:space="0" w:color="auto"/>
        <w:right w:val="none" w:sz="0" w:space="0" w:color="auto"/>
      </w:divBdr>
      <w:divsChild>
        <w:div w:id="2046712002">
          <w:marLeft w:val="547"/>
          <w:marRight w:val="0"/>
          <w:marTop w:val="0"/>
          <w:marBottom w:val="0"/>
          <w:divBdr>
            <w:top w:val="none" w:sz="0" w:space="0" w:color="auto"/>
            <w:left w:val="none" w:sz="0" w:space="0" w:color="auto"/>
            <w:bottom w:val="none" w:sz="0" w:space="0" w:color="auto"/>
            <w:right w:val="none" w:sz="0" w:space="0" w:color="auto"/>
          </w:divBdr>
        </w:div>
      </w:divsChild>
    </w:div>
    <w:div w:id="818350973">
      <w:bodyDiv w:val="1"/>
      <w:marLeft w:val="0"/>
      <w:marRight w:val="0"/>
      <w:marTop w:val="0"/>
      <w:marBottom w:val="0"/>
      <w:divBdr>
        <w:top w:val="none" w:sz="0" w:space="0" w:color="auto"/>
        <w:left w:val="none" w:sz="0" w:space="0" w:color="auto"/>
        <w:bottom w:val="none" w:sz="0" w:space="0" w:color="auto"/>
        <w:right w:val="none" w:sz="0" w:space="0" w:color="auto"/>
      </w:divBdr>
      <w:divsChild>
        <w:div w:id="363870949">
          <w:marLeft w:val="547"/>
          <w:marRight w:val="0"/>
          <w:marTop w:val="0"/>
          <w:marBottom w:val="0"/>
          <w:divBdr>
            <w:top w:val="none" w:sz="0" w:space="0" w:color="auto"/>
            <w:left w:val="none" w:sz="0" w:space="0" w:color="auto"/>
            <w:bottom w:val="none" w:sz="0" w:space="0" w:color="auto"/>
            <w:right w:val="none" w:sz="0" w:space="0" w:color="auto"/>
          </w:divBdr>
        </w:div>
        <w:div w:id="1032995048">
          <w:marLeft w:val="547"/>
          <w:marRight w:val="0"/>
          <w:marTop w:val="0"/>
          <w:marBottom w:val="0"/>
          <w:divBdr>
            <w:top w:val="none" w:sz="0" w:space="0" w:color="auto"/>
            <w:left w:val="none" w:sz="0" w:space="0" w:color="auto"/>
            <w:bottom w:val="none" w:sz="0" w:space="0" w:color="auto"/>
            <w:right w:val="none" w:sz="0" w:space="0" w:color="auto"/>
          </w:divBdr>
        </w:div>
      </w:divsChild>
    </w:div>
    <w:div w:id="894703078">
      <w:bodyDiv w:val="1"/>
      <w:marLeft w:val="0"/>
      <w:marRight w:val="0"/>
      <w:marTop w:val="0"/>
      <w:marBottom w:val="0"/>
      <w:divBdr>
        <w:top w:val="none" w:sz="0" w:space="0" w:color="auto"/>
        <w:left w:val="none" w:sz="0" w:space="0" w:color="auto"/>
        <w:bottom w:val="none" w:sz="0" w:space="0" w:color="auto"/>
        <w:right w:val="none" w:sz="0" w:space="0" w:color="auto"/>
      </w:divBdr>
      <w:divsChild>
        <w:div w:id="1001541485">
          <w:marLeft w:val="547"/>
          <w:marRight w:val="0"/>
          <w:marTop w:val="0"/>
          <w:marBottom w:val="0"/>
          <w:divBdr>
            <w:top w:val="none" w:sz="0" w:space="0" w:color="auto"/>
            <w:left w:val="none" w:sz="0" w:space="0" w:color="auto"/>
            <w:bottom w:val="none" w:sz="0" w:space="0" w:color="auto"/>
            <w:right w:val="none" w:sz="0" w:space="0" w:color="auto"/>
          </w:divBdr>
        </w:div>
      </w:divsChild>
    </w:div>
    <w:div w:id="1403024662">
      <w:bodyDiv w:val="1"/>
      <w:marLeft w:val="0"/>
      <w:marRight w:val="0"/>
      <w:marTop w:val="0"/>
      <w:marBottom w:val="0"/>
      <w:divBdr>
        <w:top w:val="none" w:sz="0" w:space="0" w:color="auto"/>
        <w:left w:val="none" w:sz="0" w:space="0" w:color="auto"/>
        <w:bottom w:val="none" w:sz="0" w:space="0" w:color="auto"/>
        <w:right w:val="none" w:sz="0" w:space="0" w:color="auto"/>
      </w:divBdr>
      <w:divsChild>
        <w:div w:id="3382344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k.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wa.teczak@reas.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ntaktmedia@bik.pl" TargetMode="External"/><Relationship Id="rId4" Type="http://schemas.openxmlformats.org/officeDocument/2006/relationships/settings" Target="settings.xml"/><Relationship Id="rId9" Type="http://schemas.openxmlformats.org/officeDocument/2006/relationships/hyperlink" Target="mailto:kontaktmedia@bi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7786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BIK S.A.</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Mszyca</dc:creator>
  <cp:lastModifiedBy>Stankiewicz-Billewicz Aleksandra</cp:lastModifiedBy>
  <cp:revision>2</cp:revision>
  <cp:lastPrinted>2016-02-25T08:39:00Z</cp:lastPrinted>
  <dcterms:created xsi:type="dcterms:W3CDTF">2016-02-25T08:39:00Z</dcterms:created>
  <dcterms:modified xsi:type="dcterms:W3CDTF">2016-02-25T08:39:00Z</dcterms:modified>
</cp:coreProperties>
</file>